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FE95" w14:textId="210AAA38" w:rsidR="00E97FDF" w:rsidRPr="008432AF" w:rsidRDefault="002F5036">
      <w:pPr>
        <w:rPr>
          <w:b/>
          <w:color w:val="002060"/>
          <w:sz w:val="36"/>
          <w:szCs w:val="36"/>
          <w:lang w:val="en-GB"/>
        </w:rPr>
      </w:pPr>
      <w:bookmarkStart w:id="0" w:name="_GoBack"/>
      <w:r w:rsidRPr="002F5036">
        <w:rPr>
          <w:b/>
          <w:color w:val="002060"/>
          <w:sz w:val="36"/>
          <w:szCs w:val="36"/>
          <w:lang w:val="en-GB"/>
        </w:rPr>
        <w:t>Germany Corporate Paym</w:t>
      </w:r>
      <w:r w:rsidR="00E97FDF" w:rsidRPr="002F5036">
        <w:rPr>
          <w:b/>
          <w:color w:val="002060"/>
          <w:sz w:val="36"/>
          <w:szCs w:val="36"/>
          <w:lang w:val="en-GB"/>
        </w:rPr>
        <w:t>e</w:t>
      </w:r>
      <w:r w:rsidRPr="002F5036">
        <w:rPr>
          <w:b/>
          <w:color w:val="002060"/>
          <w:sz w:val="36"/>
          <w:szCs w:val="36"/>
          <w:lang w:val="en-GB"/>
        </w:rPr>
        <w:t>n</w:t>
      </w:r>
      <w:r w:rsidR="00E97FDF" w:rsidRPr="002F5036">
        <w:rPr>
          <w:b/>
          <w:color w:val="002060"/>
          <w:sz w:val="36"/>
          <w:szCs w:val="36"/>
          <w:lang w:val="en-GB"/>
        </w:rPr>
        <w:t>t Survey 2022</w:t>
      </w:r>
      <w:proofErr w:type="gramStart"/>
      <w:r w:rsidR="00E97FDF" w:rsidRPr="002F5036">
        <w:rPr>
          <w:b/>
          <w:color w:val="002060"/>
          <w:sz w:val="36"/>
          <w:szCs w:val="36"/>
          <w:lang w:val="en-GB"/>
        </w:rPr>
        <w:t>:</w:t>
      </w:r>
      <w:proofErr w:type="gramEnd"/>
      <w:r w:rsidR="00E97FDF">
        <w:rPr>
          <w:b/>
          <w:color w:val="002060"/>
          <w:sz w:val="36"/>
          <w:szCs w:val="36"/>
          <w:highlight w:val="yellow"/>
          <w:lang w:val="en-GB"/>
        </w:rPr>
        <w:br/>
      </w:r>
      <w:bookmarkEnd w:id="0"/>
      <w:r w:rsidR="008432AF" w:rsidRPr="008432AF">
        <w:rPr>
          <w:b/>
          <w:color w:val="002060"/>
          <w:sz w:val="36"/>
          <w:szCs w:val="36"/>
          <w:lang w:val="en-GB"/>
        </w:rPr>
        <w:t>Battered companies prepare for another crisis</w:t>
      </w:r>
    </w:p>
    <w:p w14:paraId="319770B3" w14:textId="048D6143" w:rsidR="00D94B14" w:rsidRPr="00673EDD" w:rsidRDefault="00D94B14">
      <w:pPr>
        <w:rPr>
          <w:b/>
          <w:color w:val="FF0000"/>
          <w:sz w:val="24"/>
          <w:szCs w:val="24"/>
          <w:lang w:val="en-GB"/>
        </w:rPr>
      </w:pPr>
      <w:r w:rsidRPr="00673EDD">
        <w:rPr>
          <w:color w:val="002060"/>
          <w:sz w:val="24"/>
          <w:szCs w:val="24"/>
          <w:u w:val="single"/>
          <w:lang w:val="en-GB"/>
        </w:rPr>
        <w:t>Executive summary</w:t>
      </w:r>
    </w:p>
    <w:p w14:paraId="488003B1" w14:textId="7495371E" w:rsidR="004C1373" w:rsidRPr="00290E3A" w:rsidRDefault="0088165D" w:rsidP="004C1373">
      <w:pPr>
        <w:spacing w:line="240" w:lineRule="auto"/>
        <w:jc w:val="both"/>
        <w:rPr>
          <w:color w:val="000000" w:themeColor="text1"/>
          <w:sz w:val="16"/>
          <w:szCs w:val="16"/>
          <w:highlight w:val="yellow"/>
          <w:lang w:val="en-GB"/>
        </w:rPr>
      </w:pPr>
      <w:r w:rsidRPr="00290E3A">
        <w:rPr>
          <w:color w:val="000000" w:themeColor="text1"/>
          <w:sz w:val="16"/>
          <w:szCs w:val="16"/>
          <w:lang w:val="en-GB"/>
        </w:rPr>
        <w:t xml:space="preserve">The </w:t>
      </w:r>
      <w:r w:rsidR="00290E3A" w:rsidRPr="00290E3A">
        <w:rPr>
          <w:color w:val="000000" w:themeColor="text1"/>
          <w:sz w:val="16"/>
          <w:szCs w:val="16"/>
          <w:lang w:val="en-GB"/>
        </w:rPr>
        <w:t>sixth</w:t>
      </w:r>
      <w:r w:rsidR="00EF29B3" w:rsidRPr="00290E3A">
        <w:rPr>
          <w:color w:val="000000" w:themeColor="text1"/>
          <w:sz w:val="16"/>
          <w:szCs w:val="16"/>
          <w:lang w:val="en-GB"/>
        </w:rPr>
        <w:t xml:space="preserve"> edition of </w:t>
      </w:r>
      <w:proofErr w:type="spellStart"/>
      <w:r w:rsidR="00EF29B3" w:rsidRPr="00290E3A">
        <w:rPr>
          <w:color w:val="000000" w:themeColor="text1"/>
          <w:sz w:val="16"/>
          <w:szCs w:val="16"/>
          <w:lang w:val="en-GB"/>
        </w:rPr>
        <w:t>Coface’s</w:t>
      </w:r>
      <w:proofErr w:type="spellEnd"/>
      <w:r w:rsidR="00EF29B3" w:rsidRPr="00290E3A">
        <w:rPr>
          <w:color w:val="000000" w:themeColor="text1"/>
          <w:sz w:val="16"/>
          <w:szCs w:val="16"/>
          <w:lang w:val="en-GB"/>
        </w:rPr>
        <w:t xml:space="preserve"> survey on corporate </w:t>
      </w:r>
      <w:r w:rsidR="00F803F6" w:rsidRPr="00290E3A">
        <w:rPr>
          <w:color w:val="000000" w:themeColor="text1"/>
          <w:sz w:val="16"/>
          <w:szCs w:val="16"/>
          <w:lang w:val="en-GB"/>
        </w:rPr>
        <w:t>payment experience in Germany</w:t>
      </w:r>
      <w:r w:rsidRPr="00290E3A">
        <w:rPr>
          <w:color w:val="000000" w:themeColor="text1"/>
          <w:sz w:val="16"/>
          <w:szCs w:val="16"/>
          <w:lang w:val="en-GB"/>
        </w:rPr>
        <w:t xml:space="preserve"> was</w:t>
      </w:r>
      <w:r w:rsidR="00F803F6" w:rsidRPr="00290E3A">
        <w:rPr>
          <w:color w:val="000000" w:themeColor="text1"/>
          <w:sz w:val="16"/>
          <w:szCs w:val="16"/>
          <w:lang w:val="en-GB"/>
        </w:rPr>
        <w:t xml:space="preserve"> conducted</w:t>
      </w:r>
      <w:r w:rsidR="00D36975" w:rsidRPr="00290E3A">
        <w:rPr>
          <w:color w:val="000000" w:themeColor="text1"/>
          <w:sz w:val="16"/>
          <w:szCs w:val="16"/>
          <w:lang w:val="en-GB"/>
        </w:rPr>
        <w:t xml:space="preserve"> in July and August 202</w:t>
      </w:r>
      <w:r w:rsidR="00290E3A" w:rsidRPr="00290E3A">
        <w:rPr>
          <w:color w:val="000000" w:themeColor="text1"/>
          <w:sz w:val="16"/>
          <w:szCs w:val="16"/>
          <w:lang w:val="en-GB"/>
        </w:rPr>
        <w:t>2</w:t>
      </w:r>
      <w:r w:rsidR="00314AA3" w:rsidRPr="00290E3A">
        <w:rPr>
          <w:rStyle w:val="Funotenzeichen"/>
          <w:color w:val="000000" w:themeColor="text1"/>
          <w:sz w:val="16"/>
          <w:szCs w:val="16"/>
          <w:lang w:val="en-GB"/>
        </w:rPr>
        <w:footnoteReference w:id="1"/>
      </w:r>
      <w:r w:rsidR="00EF29B3" w:rsidRPr="00290E3A">
        <w:rPr>
          <w:color w:val="000000" w:themeColor="text1"/>
          <w:sz w:val="16"/>
          <w:szCs w:val="16"/>
          <w:lang w:val="en-GB"/>
        </w:rPr>
        <w:t xml:space="preserve">, </w:t>
      </w:r>
      <w:r w:rsidR="00EF29B3" w:rsidRPr="00A639F0">
        <w:rPr>
          <w:color w:val="000000" w:themeColor="text1"/>
          <w:sz w:val="16"/>
          <w:szCs w:val="16"/>
          <w:lang w:val="en-GB"/>
        </w:rPr>
        <w:t xml:space="preserve">with </w:t>
      </w:r>
      <w:r w:rsidR="00A639F0" w:rsidRPr="00A639F0">
        <w:rPr>
          <w:color w:val="000000" w:themeColor="text1"/>
          <w:sz w:val="16"/>
          <w:szCs w:val="16"/>
          <w:lang w:val="en-GB"/>
        </w:rPr>
        <w:t xml:space="preserve">1070 </w:t>
      </w:r>
      <w:r w:rsidRPr="00A639F0">
        <w:rPr>
          <w:color w:val="000000" w:themeColor="text1"/>
          <w:sz w:val="16"/>
          <w:szCs w:val="16"/>
          <w:lang w:val="en-GB"/>
        </w:rPr>
        <w:t xml:space="preserve">companies </w:t>
      </w:r>
      <w:r w:rsidR="00EF29B3" w:rsidRPr="00A639F0">
        <w:rPr>
          <w:color w:val="000000" w:themeColor="text1"/>
          <w:sz w:val="16"/>
          <w:szCs w:val="16"/>
          <w:lang w:val="en-GB"/>
        </w:rPr>
        <w:t xml:space="preserve">participating. </w:t>
      </w:r>
      <w:r w:rsidR="008432AF" w:rsidRPr="008432AF">
        <w:rPr>
          <w:color w:val="000000" w:themeColor="text1"/>
          <w:sz w:val="16"/>
          <w:szCs w:val="16"/>
          <w:lang w:val="en-GB"/>
        </w:rPr>
        <w:t>This is the third edition taking place in the context of the COVID-19 pandemic, but the first to take into account the impact of the war in Ukraine and its effect on trade. One of the main takeaways of this year’s survey is that payment behaviour has become slightly more restrictive: with a gas-crisis on the horizon, fewer companies are offering payment terms (71%) compared to last year (74%). Businesses remain cautious, and prefer to cash-in as soon as possible. Accordingly, the preference for shorter credit-terms remained unchanged: more than half of the surveyed companies requested payments be made within 30 days, while ultra-long credit terms (120+ days) remained rare.</w:t>
      </w:r>
    </w:p>
    <w:p w14:paraId="4A2375B4" w14:textId="4D6755F4" w:rsidR="008432AF" w:rsidRDefault="008432AF" w:rsidP="008432AF">
      <w:pPr>
        <w:spacing w:line="240" w:lineRule="auto"/>
        <w:jc w:val="both"/>
        <w:rPr>
          <w:color w:val="000000" w:themeColor="text1"/>
          <w:sz w:val="16"/>
          <w:szCs w:val="16"/>
          <w:lang w:val="en-GB"/>
        </w:rPr>
      </w:pPr>
      <w:r w:rsidRPr="008432AF">
        <w:rPr>
          <w:color w:val="000000" w:themeColor="text1"/>
          <w:sz w:val="16"/>
          <w:szCs w:val="16"/>
          <w:lang w:val="en-GB"/>
        </w:rPr>
        <w:t xml:space="preserve">Although two and a half years of a difficult and complex economic situation are taking their toll, the cost appears to be comparatively lower: the number and duration of payment delays has increased, but only on a small scale, and starting from a very low level. Even though payment discipline in 2022 deteriorated compared to 2021, and 65% of surveyed companies reported payment delays (+6pp year-on-year), this is still below the level we saw in 2020, and far below pre-pandemic levels (82% on average). The average duration of payment delays increased to 28.7 days in 2022 (+1 day YOY), after shortening by seven days YOY in 2021. Most sectors (excluding paper-packing, </w:t>
      </w:r>
      <w:proofErr w:type="spellStart"/>
      <w:r w:rsidRPr="008432AF">
        <w:rPr>
          <w:color w:val="000000" w:themeColor="text1"/>
          <w:sz w:val="16"/>
          <w:szCs w:val="16"/>
          <w:lang w:val="en-GB"/>
        </w:rPr>
        <w:t>agri</w:t>
      </w:r>
      <w:proofErr w:type="spellEnd"/>
      <w:r w:rsidRPr="008432AF">
        <w:rPr>
          <w:color w:val="000000" w:themeColor="text1"/>
          <w:sz w:val="16"/>
          <w:szCs w:val="16"/>
          <w:lang w:val="en-GB"/>
        </w:rPr>
        <w:t xml:space="preserve">-food, machinery and automotive) reported an increase in the duration of payment delays. With an average of 18.4 days, companies in the paper-packing sector experienced the shortest waiting-time this year, while companies in the finance sector were the most patient, with an average delay of 35.0 days (still below 2021’s peak of 35.8 days in the machinery sector). </w:t>
      </w:r>
    </w:p>
    <w:p w14:paraId="66401FD1" w14:textId="5F098105" w:rsidR="002C2BD0" w:rsidRPr="00290E3A" w:rsidRDefault="008432AF" w:rsidP="008432AF">
      <w:pPr>
        <w:spacing w:line="240" w:lineRule="auto"/>
        <w:jc w:val="both"/>
        <w:rPr>
          <w:b/>
          <w:color w:val="283860"/>
          <w:sz w:val="28"/>
          <w:szCs w:val="28"/>
          <w:highlight w:val="yellow"/>
          <w:lang w:val="en-GB"/>
        </w:rPr>
      </w:pPr>
      <w:r w:rsidRPr="008432AF">
        <w:rPr>
          <w:color w:val="000000" w:themeColor="text1"/>
          <w:sz w:val="16"/>
          <w:szCs w:val="16"/>
          <w:lang w:val="en-GB"/>
        </w:rPr>
        <w:t xml:space="preserve">Although the payment behaviour remains very positive, companies have never been so pessimistic about their business </w:t>
      </w:r>
      <w:proofErr w:type="gramStart"/>
      <w:r w:rsidRPr="008432AF">
        <w:rPr>
          <w:color w:val="000000" w:themeColor="text1"/>
          <w:sz w:val="16"/>
          <w:szCs w:val="16"/>
          <w:lang w:val="en-GB"/>
        </w:rPr>
        <w:t xml:space="preserve">outlook </w:t>
      </w:r>
      <w:proofErr w:type="gramEnd"/>
      <w:r w:rsidR="005746C1" w:rsidRPr="008C009D">
        <w:rPr>
          <w:rStyle w:val="Funotenzeichen"/>
          <w:color w:val="000000" w:themeColor="text1"/>
          <w:sz w:val="16"/>
          <w:szCs w:val="16"/>
          <w:lang w:val="en-GB"/>
        </w:rPr>
        <w:footnoteReference w:id="2"/>
      </w:r>
      <w:r w:rsidR="005746C1" w:rsidRPr="008C009D">
        <w:rPr>
          <w:color w:val="000000" w:themeColor="text1"/>
          <w:sz w:val="16"/>
          <w:szCs w:val="16"/>
          <w:lang w:val="en-GB"/>
        </w:rPr>
        <w:t>.</w:t>
      </w:r>
      <w:r w:rsidR="009748FC" w:rsidRPr="008C009D">
        <w:rPr>
          <w:color w:val="000000" w:themeColor="text1"/>
          <w:sz w:val="16"/>
          <w:szCs w:val="16"/>
          <w:lang w:val="en-GB"/>
        </w:rPr>
        <w:t xml:space="preserve"> </w:t>
      </w:r>
      <w:r w:rsidRPr="008432AF">
        <w:rPr>
          <w:color w:val="000000" w:themeColor="text1"/>
          <w:sz w:val="16"/>
          <w:szCs w:val="16"/>
          <w:lang w:val="en-GB"/>
        </w:rPr>
        <w:t xml:space="preserve">While the view on the current situation this year is more or less neutral - 23% of participants think their business situation is better than in 2021; 22% see it as worse –, the view for 2023 is very clear. 38% of companies surveyed are pessimistic regarding 2023, while only 14% are optimistic about their near future. The main reason for this is the significant amount of risks that companies are facing. Pre-existing risks, such as global production chain disruptions and rising non-energy commodity costs, remain the key concern for companies export outlook in 2022. However, new risks – including the war in Ukraine and related sanctions as well as rising energy prices – are also weighing on companies’ minds. COVID-19 is currently a minor issue, although businesses are well aware of the economic risk of any new mutations. Related to these risks, international market focus has shifted. German companies are focused less on the European Union and the United Kingdom, and more on non-EU countries, possibly to circumvent sanctions against Russia. In addition, China has lost some of its popularity, while the </w:t>
      </w:r>
      <w:proofErr w:type="gramStart"/>
      <w:r w:rsidRPr="008432AF">
        <w:rPr>
          <w:color w:val="000000" w:themeColor="text1"/>
          <w:sz w:val="16"/>
          <w:szCs w:val="16"/>
          <w:lang w:val="en-GB"/>
        </w:rPr>
        <w:t>United</w:t>
      </w:r>
      <w:proofErr w:type="gramEnd"/>
      <w:r w:rsidRPr="008432AF">
        <w:rPr>
          <w:color w:val="000000" w:themeColor="text1"/>
          <w:sz w:val="16"/>
          <w:szCs w:val="16"/>
          <w:lang w:val="en-GB"/>
        </w:rPr>
        <w:t xml:space="preserve"> States are once again a key export destination.</w:t>
      </w:r>
      <w:r>
        <w:rPr>
          <w:color w:val="000000" w:themeColor="text1"/>
          <w:sz w:val="16"/>
          <w:szCs w:val="16"/>
          <w:lang w:val="en-GB"/>
        </w:rPr>
        <w:t xml:space="preserve"> </w:t>
      </w:r>
      <w:r w:rsidRPr="008432AF">
        <w:rPr>
          <w:color w:val="000000" w:themeColor="text1"/>
          <w:sz w:val="16"/>
          <w:szCs w:val="16"/>
          <w:lang w:val="en-GB"/>
        </w:rPr>
        <w:t xml:space="preserve">With all these obstacles on the horizon, the question remains: how did German companies navigate the economic crisis caused by the pandemic, and in what shape are they entering the looming gas-crisis? While 48% of participants had used public support over the last 12 months in 2021, this number was still 30% in 2022, with 25% even using state aid in the last 3 months before public support ended in June 2022. It is unclear if these companies will be able to continue without the support measures, which is especially true for companies using state-backed loans (31% of the participants who use support measures), as the loans require the start of repayments two years after their admissions.   </w:t>
      </w:r>
      <w:r w:rsidR="002C2BD0" w:rsidRPr="00290E3A">
        <w:rPr>
          <w:b/>
          <w:color w:val="283860"/>
          <w:sz w:val="28"/>
          <w:szCs w:val="28"/>
          <w:highlight w:val="yellow"/>
          <w:lang w:val="en-GB"/>
        </w:rPr>
        <w:br w:type="page"/>
      </w:r>
    </w:p>
    <w:p w14:paraId="39B3E16B" w14:textId="7DFCF4C3" w:rsidR="00B84D2D" w:rsidRPr="00D06D9C" w:rsidRDefault="002F5036" w:rsidP="00EF29B3">
      <w:pPr>
        <w:spacing w:line="240" w:lineRule="auto"/>
        <w:rPr>
          <w:color w:val="283860"/>
          <w:sz w:val="28"/>
          <w:szCs w:val="28"/>
          <w:lang w:val="en-GB"/>
        </w:rPr>
      </w:pPr>
      <w:r>
        <w:rPr>
          <w:b/>
          <w:color w:val="283860"/>
          <w:sz w:val="28"/>
          <w:szCs w:val="28"/>
          <w:lang w:val="en-GB"/>
        </w:rPr>
        <w:lastRenderedPageBreak/>
        <w:t>PAYMENT TERMS</w:t>
      </w:r>
      <w:r w:rsidR="00B052BA" w:rsidRPr="00D06D9C">
        <w:rPr>
          <w:rStyle w:val="Funotenzeichen"/>
          <w:b/>
          <w:color w:val="283860"/>
          <w:sz w:val="28"/>
          <w:szCs w:val="28"/>
          <w:lang w:val="en-GB"/>
        </w:rPr>
        <w:footnoteReference w:id="3"/>
      </w:r>
      <w:r w:rsidR="00B052BA" w:rsidRPr="00D06D9C">
        <w:rPr>
          <w:b/>
          <w:color w:val="283860"/>
          <w:sz w:val="28"/>
          <w:szCs w:val="28"/>
          <w:lang w:val="en-GB"/>
        </w:rPr>
        <w:t xml:space="preserve">: </w:t>
      </w:r>
      <w:r w:rsidR="00D06D9C" w:rsidRPr="00D06D9C">
        <w:rPr>
          <w:color w:val="283860"/>
          <w:sz w:val="28"/>
          <w:szCs w:val="28"/>
          <w:lang w:val="en-GB"/>
        </w:rPr>
        <w:t>VIGILANT COMPANIES OFFER LESS PAYMENT TERMS</w:t>
      </w:r>
    </w:p>
    <w:p w14:paraId="5EBD9FAC" w14:textId="733938AA" w:rsidR="005D0155" w:rsidRPr="005D0155" w:rsidRDefault="00B052BA" w:rsidP="00B052BA">
      <w:pPr>
        <w:spacing w:line="240" w:lineRule="auto"/>
        <w:rPr>
          <w:i/>
          <w:color w:val="283860"/>
          <w:sz w:val="16"/>
          <w:szCs w:val="28"/>
          <w:lang w:val="en-GB"/>
        </w:rPr>
      </w:pPr>
      <w:r w:rsidRPr="005D0155">
        <w:rPr>
          <w:i/>
          <w:color w:val="283860"/>
          <w:sz w:val="16"/>
          <w:szCs w:val="28"/>
          <w:lang w:val="en-GB"/>
        </w:rPr>
        <w:t>Key Sentence:</w:t>
      </w:r>
      <w:r w:rsidR="00520554" w:rsidRPr="005D0155">
        <w:rPr>
          <w:i/>
          <w:color w:val="283860"/>
          <w:sz w:val="16"/>
          <w:szCs w:val="28"/>
          <w:lang w:val="en-GB"/>
        </w:rPr>
        <w:t xml:space="preserve"> </w:t>
      </w:r>
      <w:r w:rsidR="00F4689A" w:rsidRPr="005D0155">
        <w:rPr>
          <w:i/>
          <w:color w:val="283860"/>
          <w:sz w:val="16"/>
          <w:szCs w:val="28"/>
          <w:lang w:val="en-GB"/>
        </w:rPr>
        <w:t xml:space="preserve">The average credit period </w:t>
      </w:r>
      <w:r w:rsidR="005D0155" w:rsidRPr="005D0155">
        <w:rPr>
          <w:i/>
          <w:color w:val="283860"/>
          <w:sz w:val="16"/>
          <w:szCs w:val="28"/>
          <w:lang w:val="en-GB"/>
        </w:rPr>
        <w:t>has changed only marginally and increased by 0.2 days to 32.8 days</w:t>
      </w:r>
      <w:r w:rsidR="005D0155">
        <w:rPr>
          <w:i/>
          <w:color w:val="283860"/>
          <w:sz w:val="16"/>
          <w:szCs w:val="28"/>
          <w:lang w:val="en-GB"/>
        </w:rPr>
        <w:t xml:space="preserve"> between 2021 and 2022</w:t>
      </w:r>
      <w:r w:rsidR="005D0155" w:rsidRPr="005D0155">
        <w:rPr>
          <w:i/>
          <w:color w:val="283860"/>
          <w:sz w:val="16"/>
          <w:szCs w:val="28"/>
          <w:lang w:val="en-GB"/>
        </w:rPr>
        <w:t xml:space="preserve">. </w:t>
      </w:r>
    </w:p>
    <w:p w14:paraId="1FA2707C" w14:textId="5147AE25" w:rsidR="00F76053" w:rsidRPr="00290E3A" w:rsidRDefault="00B052BA" w:rsidP="002C2BD0">
      <w:pPr>
        <w:spacing w:line="240" w:lineRule="auto"/>
        <w:rPr>
          <w:i/>
          <w:color w:val="283860"/>
          <w:sz w:val="16"/>
          <w:szCs w:val="28"/>
          <w:highlight w:val="yellow"/>
          <w:lang w:val="en-GB"/>
        </w:rPr>
      </w:pPr>
      <w:r w:rsidRPr="005D0155">
        <w:rPr>
          <w:i/>
          <w:color w:val="283860"/>
          <w:sz w:val="16"/>
          <w:szCs w:val="28"/>
          <w:lang w:val="en-GB"/>
        </w:rPr>
        <w:t xml:space="preserve">Key Figure: </w:t>
      </w:r>
      <w:r w:rsidR="005D0155" w:rsidRPr="005D0155">
        <w:rPr>
          <w:i/>
          <w:color w:val="283860"/>
          <w:sz w:val="16"/>
          <w:szCs w:val="28"/>
          <w:lang w:val="en-GB"/>
        </w:rPr>
        <w:t xml:space="preserve">In 2022, 71% of our survey participants offered payment terms. This is </w:t>
      </w:r>
      <w:r w:rsidR="005D0155">
        <w:rPr>
          <w:i/>
          <w:color w:val="283860"/>
          <w:sz w:val="16"/>
          <w:szCs w:val="28"/>
          <w:lang w:val="en-GB"/>
        </w:rPr>
        <w:t xml:space="preserve">a reduction of 3 percentage-points compared to 2021. </w:t>
      </w:r>
      <w:r w:rsidR="005D0155" w:rsidRPr="005D0155">
        <w:rPr>
          <w:i/>
          <w:color w:val="283860"/>
          <w:sz w:val="16"/>
          <w:szCs w:val="28"/>
          <w:lang w:val="en-GB"/>
        </w:rPr>
        <w:t xml:space="preserve"> </w:t>
      </w:r>
    </w:p>
    <w:p w14:paraId="2A2CB727" w14:textId="6CD9DE78" w:rsidR="00B052BA" w:rsidRPr="003D0F43" w:rsidRDefault="00B052BA" w:rsidP="00B052BA">
      <w:pPr>
        <w:spacing w:line="240" w:lineRule="auto"/>
        <w:rPr>
          <w:color w:val="283860"/>
          <w:sz w:val="16"/>
          <w:szCs w:val="28"/>
          <w:lang w:val="en-GB"/>
        </w:rPr>
      </w:pPr>
      <w:r w:rsidRPr="003D0F43">
        <w:rPr>
          <w:b/>
          <w:color w:val="283860"/>
          <w:sz w:val="16"/>
          <w:szCs w:val="28"/>
          <w:lang w:val="en-GB"/>
        </w:rPr>
        <w:t>Chart 1:</w:t>
      </w:r>
      <w:r w:rsidRPr="003D0F43">
        <w:rPr>
          <w:color w:val="283860"/>
          <w:sz w:val="16"/>
          <w:szCs w:val="28"/>
          <w:lang w:val="en-GB"/>
        </w:rPr>
        <w:t xml:space="preserve"> </w:t>
      </w:r>
      <w:r w:rsidR="008470A3" w:rsidRPr="003D0F43">
        <w:rPr>
          <w:color w:val="283860"/>
          <w:sz w:val="16"/>
          <w:szCs w:val="28"/>
          <w:lang w:val="en-GB"/>
        </w:rPr>
        <w:br/>
      </w:r>
      <w:r w:rsidR="00D36975" w:rsidRPr="003D0F43">
        <w:rPr>
          <w:color w:val="283860"/>
          <w:sz w:val="16"/>
          <w:szCs w:val="28"/>
          <w:lang w:val="en-GB"/>
        </w:rPr>
        <w:t>Hypothetical</w:t>
      </w:r>
      <w:r w:rsidRPr="003D0F43">
        <w:rPr>
          <w:color w:val="283860"/>
          <w:sz w:val="16"/>
          <w:szCs w:val="28"/>
          <w:lang w:val="en-GB"/>
        </w:rPr>
        <w:t xml:space="preserve"> </w:t>
      </w:r>
      <w:r w:rsidR="003F6D60" w:rsidRPr="003D0F43">
        <w:rPr>
          <w:color w:val="283860"/>
          <w:sz w:val="16"/>
          <w:szCs w:val="28"/>
          <w:lang w:val="en-GB"/>
        </w:rPr>
        <w:t>payment terms</w:t>
      </w:r>
      <w:r w:rsidR="00851F3A" w:rsidRPr="003D0F43">
        <w:rPr>
          <w:color w:val="283860"/>
          <w:sz w:val="16"/>
          <w:szCs w:val="28"/>
          <w:lang w:val="en-GB"/>
        </w:rPr>
        <w:t xml:space="preserve"> in Germany </w:t>
      </w:r>
      <w:r w:rsidR="003723A3" w:rsidRPr="003D0F43">
        <w:rPr>
          <w:color w:val="283860"/>
          <w:sz w:val="16"/>
          <w:szCs w:val="28"/>
          <w:lang w:val="en-GB"/>
        </w:rPr>
        <w:t>over</w:t>
      </w:r>
      <w:r w:rsidR="00851F3A" w:rsidRPr="003D0F43">
        <w:rPr>
          <w:color w:val="283860"/>
          <w:sz w:val="16"/>
          <w:szCs w:val="28"/>
          <w:lang w:val="en-GB"/>
        </w:rPr>
        <w:t xml:space="preserve"> time</w:t>
      </w:r>
      <w:r w:rsidR="00851F3A" w:rsidRPr="003D0F43">
        <w:rPr>
          <w:rStyle w:val="Funotenzeichen"/>
          <w:color w:val="283860"/>
          <w:sz w:val="16"/>
          <w:szCs w:val="28"/>
          <w:lang w:val="en-GB"/>
        </w:rPr>
        <w:footnoteReference w:id="4"/>
      </w:r>
    </w:p>
    <w:p w14:paraId="107B1C00" w14:textId="428F5A8B" w:rsidR="00B052BA" w:rsidRPr="003D0F43" w:rsidRDefault="002F5036" w:rsidP="00B052BA">
      <w:pPr>
        <w:spacing w:line="240" w:lineRule="auto"/>
        <w:rPr>
          <w:color w:val="283860"/>
          <w:sz w:val="16"/>
          <w:szCs w:val="28"/>
          <w:lang w:val="en-GB"/>
        </w:rPr>
      </w:pPr>
      <w:r w:rsidRPr="002F5036">
        <w:rPr>
          <w:noProof/>
          <w:color w:val="283860"/>
          <w:sz w:val="16"/>
          <w:szCs w:val="28"/>
          <w:lang w:eastAsia="de-DE"/>
        </w:rPr>
        <w:drawing>
          <wp:inline distT="0" distB="0" distL="0" distR="0" wp14:anchorId="6DDF46D6" wp14:editId="4CFA1620">
            <wp:extent cx="2674488" cy="15273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454" cy="1534802"/>
                    </a:xfrm>
                    <a:prstGeom prst="rect">
                      <a:avLst/>
                    </a:prstGeom>
                    <a:noFill/>
                    <a:ln>
                      <a:noFill/>
                    </a:ln>
                  </pic:spPr>
                </pic:pic>
              </a:graphicData>
            </a:graphic>
          </wp:inline>
        </w:drawing>
      </w:r>
      <w:r w:rsidR="00B052BA" w:rsidRPr="003D0F43">
        <w:rPr>
          <w:color w:val="283860"/>
          <w:sz w:val="16"/>
          <w:szCs w:val="28"/>
          <w:lang w:val="en-GB"/>
        </w:rPr>
        <w:t xml:space="preserve"> </w:t>
      </w:r>
    </w:p>
    <w:p w14:paraId="005FBFE0" w14:textId="5BC41ADD" w:rsidR="00851F3A" w:rsidRPr="003D0F43" w:rsidRDefault="00851F3A" w:rsidP="00C9317B">
      <w:pPr>
        <w:spacing w:line="240" w:lineRule="auto"/>
        <w:rPr>
          <w:color w:val="000000" w:themeColor="text1"/>
          <w:sz w:val="12"/>
          <w:szCs w:val="28"/>
          <w:lang w:val="en-GB"/>
        </w:rPr>
      </w:pPr>
      <w:r w:rsidRPr="003D0F43">
        <w:rPr>
          <w:color w:val="000000" w:themeColor="text1"/>
          <w:sz w:val="12"/>
          <w:szCs w:val="28"/>
          <w:lang w:val="en-GB"/>
        </w:rPr>
        <w:t xml:space="preserve">Source: </w:t>
      </w:r>
      <w:proofErr w:type="spellStart"/>
      <w:r w:rsidRPr="003D0F43">
        <w:rPr>
          <w:color w:val="000000" w:themeColor="text1"/>
          <w:sz w:val="12"/>
          <w:szCs w:val="28"/>
          <w:lang w:val="en-GB"/>
        </w:rPr>
        <w:t>Co</w:t>
      </w:r>
      <w:r w:rsidR="00290E3A" w:rsidRPr="003D0F43">
        <w:rPr>
          <w:color w:val="000000" w:themeColor="text1"/>
          <w:sz w:val="12"/>
          <w:szCs w:val="28"/>
          <w:lang w:val="en-GB"/>
        </w:rPr>
        <w:t>face</w:t>
      </w:r>
      <w:proofErr w:type="spellEnd"/>
      <w:r w:rsidR="00290E3A" w:rsidRPr="003D0F43">
        <w:rPr>
          <w:color w:val="000000" w:themeColor="text1"/>
          <w:sz w:val="12"/>
          <w:szCs w:val="28"/>
          <w:lang w:val="en-GB"/>
        </w:rPr>
        <w:t xml:space="preserve"> </w:t>
      </w:r>
      <w:r w:rsidR="003D0F43" w:rsidRPr="003D0F43">
        <w:rPr>
          <w:color w:val="000000" w:themeColor="text1"/>
          <w:sz w:val="12"/>
          <w:szCs w:val="28"/>
          <w:lang w:val="en-GB"/>
        </w:rPr>
        <w:t xml:space="preserve">Corporate </w:t>
      </w:r>
      <w:r w:rsidR="00290E3A" w:rsidRPr="003D0F43">
        <w:rPr>
          <w:color w:val="000000" w:themeColor="text1"/>
          <w:sz w:val="12"/>
          <w:szCs w:val="28"/>
          <w:lang w:val="en-GB"/>
        </w:rPr>
        <w:t>Payment Survey Germany 2022</w:t>
      </w:r>
    </w:p>
    <w:p w14:paraId="27B98E9D" w14:textId="4A993FBB" w:rsidR="00C9317B" w:rsidRPr="003D0F43" w:rsidRDefault="00C9317B" w:rsidP="00C9317B">
      <w:pPr>
        <w:spacing w:line="240" w:lineRule="auto"/>
        <w:rPr>
          <w:color w:val="283860"/>
          <w:sz w:val="16"/>
          <w:szCs w:val="28"/>
          <w:lang w:val="en-GB"/>
        </w:rPr>
      </w:pPr>
      <w:r w:rsidRPr="003D0F43">
        <w:rPr>
          <w:b/>
          <w:color w:val="283860"/>
          <w:sz w:val="16"/>
          <w:szCs w:val="28"/>
          <w:lang w:val="en-GB"/>
        </w:rPr>
        <w:t xml:space="preserve">Chart </w:t>
      </w:r>
      <w:r w:rsidR="003B70F2" w:rsidRPr="003D0F43">
        <w:rPr>
          <w:b/>
          <w:color w:val="283860"/>
          <w:sz w:val="16"/>
          <w:szCs w:val="28"/>
          <w:lang w:val="en-GB"/>
        </w:rPr>
        <w:t>2</w:t>
      </w:r>
      <w:r w:rsidRPr="003D0F43">
        <w:rPr>
          <w:b/>
          <w:color w:val="283860"/>
          <w:sz w:val="16"/>
          <w:szCs w:val="28"/>
          <w:lang w:val="en-GB"/>
        </w:rPr>
        <w:t>:</w:t>
      </w:r>
      <w:r w:rsidRPr="003D0F43">
        <w:rPr>
          <w:color w:val="283860"/>
          <w:sz w:val="16"/>
          <w:szCs w:val="28"/>
          <w:lang w:val="en-GB"/>
        </w:rPr>
        <w:t xml:space="preserve"> </w:t>
      </w:r>
      <w:r w:rsidR="00082EFD" w:rsidRPr="003D0F43">
        <w:rPr>
          <w:color w:val="283860"/>
          <w:sz w:val="16"/>
          <w:szCs w:val="28"/>
          <w:lang w:val="en-GB"/>
        </w:rPr>
        <w:br/>
      </w:r>
      <w:r w:rsidR="003B70F2" w:rsidRPr="003D0F43">
        <w:rPr>
          <w:color w:val="283860"/>
          <w:sz w:val="16"/>
          <w:szCs w:val="28"/>
          <w:lang w:val="en-GB"/>
        </w:rPr>
        <w:t>Hypothetical</w:t>
      </w:r>
      <w:r w:rsidRPr="003D0F43">
        <w:rPr>
          <w:color w:val="283860"/>
          <w:sz w:val="16"/>
          <w:szCs w:val="28"/>
          <w:lang w:val="en-GB"/>
        </w:rPr>
        <w:t xml:space="preserve"> </w:t>
      </w:r>
      <w:r w:rsidR="00B00F7E" w:rsidRPr="003D0F43">
        <w:rPr>
          <w:color w:val="283860"/>
          <w:sz w:val="16"/>
          <w:szCs w:val="28"/>
          <w:lang w:val="en-GB"/>
        </w:rPr>
        <w:t>payment terms</w:t>
      </w:r>
      <w:r w:rsidRPr="003D0F43">
        <w:rPr>
          <w:color w:val="283860"/>
          <w:sz w:val="16"/>
          <w:szCs w:val="28"/>
          <w:lang w:val="en-GB"/>
        </w:rPr>
        <w:t xml:space="preserve"> </w:t>
      </w:r>
      <w:r w:rsidR="009D1C6A">
        <w:rPr>
          <w:color w:val="283860"/>
          <w:sz w:val="16"/>
          <w:szCs w:val="28"/>
          <w:lang w:val="en-GB"/>
        </w:rPr>
        <w:t>in 2022 by</w:t>
      </w:r>
      <w:r w:rsidRPr="003D0F43">
        <w:rPr>
          <w:color w:val="283860"/>
          <w:sz w:val="16"/>
          <w:szCs w:val="28"/>
          <w:lang w:val="en-GB"/>
        </w:rPr>
        <w:t xml:space="preserve"> sectors</w:t>
      </w:r>
      <w:r w:rsidR="00062DD2">
        <w:rPr>
          <w:rStyle w:val="Funotenzeichen"/>
          <w:color w:val="283860"/>
          <w:sz w:val="16"/>
          <w:szCs w:val="28"/>
          <w:lang w:val="en-GB"/>
        </w:rPr>
        <w:footnoteReference w:id="5"/>
      </w:r>
      <w:r w:rsidR="00303BB5" w:rsidRPr="003D0F43">
        <w:rPr>
          <w:color w:val="283860"/>
          <w:sz w:val="16"/>
          <w:szCs w:val="28"/>
          <w:lang w:val="en-GB"/>
        </w:rPr>
        <w:t xml:space="preserve"> </w:t>
      </w:r>
      <w:r w:rsidR="005746C1">
        <w:rPr>
          <w:rStyle w:val="Funotenzeichen"/>
          <w:color w:val="283860"/>
          <w:sz w:val="16"/>
          <w:szCs w:val="28"/>
          <w:lang w:val="en-GB"/>
        </w:rPr>
        <w:footnoteReference w:id="6"/>
      </w:r>
    </w:p>
    <w:p w14:paraId="14A0E292" w14:textId="34824518" w:rsidR="00C9317B" w:rsidRPr="003D0F43" w:rsidRDefault="009D1C6A" w:rsidP="00C9317B">
      <w:pPr>
        <w:spacing w:line="240" w:lineRule="auto"/>
        <w:rPr>
          <w:color w:val="283860"/>
          <w:sz w:val="16"/>
          <w:szCs w:val="28"/>
          <w:lang w:val="en-GB"/>
        </w:rPr>
      </w:pPr>
      <w:r w:rsidRPr="009D1C6A">
        <w:rPr>
          <w:noProof/>
          <w:color w:val="283860"/>
          <w:sz w:val="16"/>
          <w:szCs w:val="28"/>
          <w:lang w:eastAsia="de-DE"/>
        </w:rPr>
        <w:drawing>
          <wp:inline distT="0" distB="0" distL="0" distR="0" wp14:anchorId="31225638" wp14:editId="21868E63">
            <wp:extent cx="2965193" cy="1726133"/>
            <wp:effectExtent l="0" t="0" r="698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9828" cy="1740474"/>
                    </a:xfrm>
                    <a:prstGeom prst="rect">
                      <a:avLst/>
                    </a:prstGeom>
                    <a:noFill/>
                    <a:ln>
                      <a:noFill/>
                    </a:ln>
                  </pic:spPr>
                </pic:pic>
              </a:graphicData>
            </a:graphic>
          </wp:inline>
        </w:drawing>
      </w:r>
    </w:p>
    <w:p w14:paraId="1C3201AB" w14:textId="77777777" w:rsidR="003D0F43" w:rsidRPr="003D0F43" w:rsidRDefault="003D0F43" w:rsidP="003D0F43">
      <w:pPr>
        <w:spacing w:line="240" w:lineRule="auto"/>
        <w:rPr>
          <w:color w:val="000000" w:themeColor="text1"/>
          <w:sz w:val="12"/>
          <w:szCs w:val="28"/>
          <w:lang w:val="en-GB"/>
        </w:rPr>
      </w:pPr>
      <w:r w:rsidRPr="003D0F43">
        <w:rPr>
          <w:color w:val="000000" w:themeColor="text1"/>
          <w:sz w:val="12"/>
          <w:szCs w:val="28"/>
          <w:lang w:val="en-GB"/>
        </w:rPr>
        <w:t xml:space="preserve">Source: </w:t>
      </w:r>
      <w:proofErr w:type="spellStart"/>
      <w:r w:rsidRPr="003D0F43">
        <w:rPr>
          <w:color w:val="000000" w:themeColor="text1"/>
          <w:sz w:val="12"/>
          <w:szCs w:val="28"/>
          <w:lang w:val="en-GB"/>
        </w:rPr>
        <w:t>Coface</w:t>
      </w:r>
      <w:proofErr w:type="spellEnd"/>
      <w:r w:rsidRPr="003D0F43">
        <w:rPr>
          <w:color w:val="000000" w:themeColor="text1"/>
          <w:sz w:val="12"/>
          <w:szCs w:val="28"/>
          <w:lang w:val="en-GB"/>
        </w:rPr>
        <w:t xml:space="preserve"> Corporate Payment Survey Germany 2022</w:t>
      </w:r>
    </w:p>
    <w:p w14:paraId="330FAA61" w14:textId="3FA09237" w:rsidR="003B70F2" w:rsidRPr="003D0F43" w:rsidRDefault="003B70F2" w:rsidP="003B70F2">
      <w:pPr>
        <w:spacing w:line="240" w:lineRule="auto"/>
        <w:rPr>
          <w:color w:val="283860"/>
          <w:sz w:val="16"/>
          <w:szCs w:val="28"/>
          <w:lang w:val="en-GB"/>
        </w:rPr>
      </w:pPr>
      <w:r w:rsidRPr="003D0F43">
        <w:rPr>
          <w:b/>
          <w:color w:val="283860"/>
          <w:sz w:val="16"/>
          <w:szCs w:val="28"/>
          <w:lang w:val="en-GB"/>
        </w:rPr>
        <w:t>Chart 3:</w:t>
      </w:r>
      <w:r w:rsidRPr="003D0F43">
        <w:rPr>
          <w:color w:val="283860"/>
          <w:sz w:val="16"/>
          <w:szCs w:val="28"/>
          <w:lang w:val="en-GB"/>
        </w:rPr>
        <w:t xml:space="preserve"> </w:t>
      </w:r>
      <w:r w:rsidR="00082EFD" w:rsidRPr="003D0F43">
        <w:rPr>
          <w:color w:val="283860"/>
          <w:sz w:val="16"/>
          <w:szCs w:val="28"/>
          <w:lang w:val="en-GB"/>
        </w:rPr>
        <w:br/>
      </w:r>
      <w:r w:rsidRPr="003D0F43">
        <w:rPr>
          <w:color w:val="283860"/>
          <w:sz w:val="16"/>
          <w:szCs w:val="28"/>
          <w:lang w:val="en-GB"/>
        </w:rPr>
        <w:t xml:space="preserve">Average </w:t>
      </w:r>
      <w:r w:rsidR="00B00F7E" w:rsidRPr="003D0F43">
        <w:rPr>
          <w:color w:val="283860"/>
          <w:sz w:val="16"/>
          <w:szCs w:val="28"/>
          <w:lang w:val="en-GB"/>
        </w:rPr>
        <w:t>payment terms</w:t>
      </w:r>
      <w:r w:rsidRPr="003D0F43">
        <w:rPr>
          <w:color w:val="283860"/>
          <w:sz w:val="16"/>
          <w:szCs w:val="28"/>
          <w:lang w:val="en-GB"/>
        </w:rPr>
        <w:t xml:space="preserve"> (</w:t>
      </w:r>
      <w:r w:rsidR="009D1C6A">
        <w:rPr>
          <w:color w:val="283860"/>
          <w:sz w:val="16"/>
          <w:szCs w:val="28"/>
          <w:lang w:val="en-GB"/>
        </w:rPr>
        <w:t xml:space="preserve">in </w:t>
      </w:r>
      <w:r w:rsidRPr="003D0F43">
        <w:rPr>
          <w:color w:val="283860"/>
          <w:sz w:val="16"/>
          <w:szCs w:val="28"/>
          <w:lang w:val="en-GB"/>
        </w:rPr>
        <w:t>days)</w:t>
      </w:r>
      <w:r w:rsidR="00162514" w:rsidRPr="003D0F43">
        <w:rPr>
          <w:rStyle w:val="Funotenzeichen"/>
          <w:color w:val="283860"/>
          <w:sz w:val="16"/>
          <w:szCs w:val="28"/>
          <w:lang w:val="en-GB"/>
        </w:rPr>
        <w:footnoteReference w:id="7"/>
      </w:r>
    </w:p>
    <w:p w14:paraId="7B08272C" w14:textId="1BA713A7" w:rsidR="003B70F2" w:rsidRPr="003D0F43" w:rsidRDefault="009D1C6A" w:rsidP="00033E11">
      <w:pPr>
        <w:spacing w:line="240" w:lineRule="auto"/>
        <w:jc w:val="both"/>
        <w:rPr>
          <w:color w:val="283860"/>
          <w:sz w:val="16"/>
          <w:szCs w:val="28"/>
          <w:lang w:val="en-GB"/>
        </w:rPr>
      </w:pPr>
      <w:r w:rsidRPr="009D1C6A">
        <w:rPr>
          <w:noProof/>
          <w:color w:val="283860"/>
          <w:sz w:val="16"/>
          <w:szCs w:val="28"/>
          <w:lang w:eastAsia="de-DE"/>
        </w:rPr>
        <w:drawing>
          <wp:inline distT="0" distB="0" distL="0" distR="0" wp14:anchorId="7650A79A" wp14:editId="60257B65">
            <wp:extent cx="3097332" cy="1903880"/>
            <wp:effectExtent l="0" t="0" r="825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5585" cy="1927394"/>
                    </a:xfrm>
                    <a:prstGeom prst="rect">
                      <a:avLst/>
                    </a:prstGeom>
                    <a:noFill/>
                    <a:ln>
                      <a:noFill/>
                    </a:ln>
                  </pic:spPr>
                </pic:pic>
              </a:graphicData>
            </a:graphic>
          </wp:inline>
        </w:drawing>
      </w:r>
    </w:p>
    <w:p w14:paraId="1EE77805" w14:textId="7CB591B9" w:rsidR="00851F3A" w:rsidRPr="003D0F43" w:rsidRDefault="00851F3A" w:rsidP="00B052BA">
      <w:pPr>
        <w:spacing w:line="240" w:lineRule="auto"/>
        <w:rPr>
          <w:color w:val="000000" w:themeColor="text1"/>
          <w:sz w:val="12"/>
          <w:szCs w:val="28"/>
          <w:lang w:val="en-GB"/>
        </w:rPr>
      </w:pPr>
      <w:r w:rsidRPr="003D0F43">
        <w:rPr>
          <w:color w:val="000000" w:themeColor="text1"/>
          <w:sz w:val="12"/>
          <w:szCs w:val="28"/>
          <w:lang w:val="en-GB"/>
        </w:rPr>
        <w:t xml:space="preserve">Source: </w:t>
      </w:r>
      <w:proofErr w:type="spellStart"/>
      <w:r w:rsidRPr="003D0F43">
        <w:rPr>
          <w:color w:val="000000" w:themeColor="text1"/>
          <w:sz w:val="12"/>
          <w:szCs w:val="28"/>
          <w:lang w:val="en-GB"/>
        </w:rPr>
        <w:t>Co</w:t>
      </w:r>
      <w:r w:rsidR="00290E3A" w:rsidRPr="003D0F43">
        <w:rPr>
          <w:color w:val="000000" w:themeColor="text1"/>
          <w:sz w:val="12"/>
          <w:szCs w:val="28"/>
          <w:lang w:val="en-GB"/>
        </w:rPr>
        <w:t>face</w:t>
      </w:r>
      <w:proofErr w:type="spellEnd"/>
      <w:r w:rsidR="00290E3A" w:rsidRPr="003D0F43">
        <w:rPr>
          <w:color w:val="000000" w:themeColor="text1"/>
          <w:sz w:val="12"/>
          <w:szCs w:val="28"/>
          <w:lang w:val="en-GB"/>
        </w:rPr>
        <w:t xml:space="preserve"> </w:t>
      </w:r>
      <w:r w:rsidR="003D0F43">
        <w:rPr>
          <w:color w:val="000000" w:themeColor="text1"/>
          <w:sz w:val="12"/>
          <w:szCs w:val="28"/>
          <w:lang w:val="en-GB"/>
        </w:rPr>
        <w:t xml:space="preserve">Corporate </w:t>
      </w:r>
      <w:r w:rsidR="00290E3A" w:rsidRPr="003D0F43">
        <w:rPr>
          <w:color w:val="000000" w:themeColor="text1"/>
          <w:sz w:val="12"/>
          <w:szCs w:val="28"/>
          <w:lang w:val="en-GB"/>
        </w:rPr>
        <w:t>Payment Survey Germany 2022</w:t>
      </w:r>
    </w:p>
    <w:p w14:paraId="103902AB" w14:textId="59446701" w:rsidR="00B052BA" w:rsidRPr="003D0F43" w:rsidRDefault="00C9317B" w:rsidP="00B052BA">
      <w:pPr>
        <w:spacing w:line="240" w:lineRule="auto"/>
        <w:rPr>
          <w:color w:val="283860"/>
          <w:sz w:val="16"/>
          <w:szCs w:val="28"/>
          <w:lang w:val="en-GB"/>
        </w:rPr>
      </w:pPr>
      <w:r w:rsidRPr="003D0F43">
        <w:rPr>
          <w:b/>
          <w:color w:val="283860"/>
          <w:sz w:val="16"/>
          <w:szCs w:val="28"/>
          <w:lang w:val="en-GB"/>
        </w:rPr>
        <w:lastRenderedPageBreak/>
        <w:t>Chart 4:</w:t>
      </w:r>
      <w:r w:rsidRPr="003D0F43">
        <w:rPr>
          <w:color w:val="283860"/>
          <w:sz w:val="16"/>
          <w:szCs w:val="28"/>
          <w:lang w:val="en-GB"/>
        </w:rPr>
        <w:t xml:space="preserve"> </w:t>
      </w:r>
      <w:r w:rsidR="00082EFD" w:rsidRPr="003D0F43">
        <w:rPr>
          <w:color w:val="283860"/>
          <w:sz w:val="16"/>
          <w:szCs w:val="28"/>
          <w:lang w:val="en-GB"/>
        </w:rPr>
        <w:br/>
      </w:r>
      <w:r w:rsidRPr="003D0F43">
        <w:rPr>
          <w:color w:val="283860"/>
          <w:sz w:val="16"/>
          <w:szCs w:val="28"/>
          <w:lang w:val="en-GB"/>
        </w:rPr>
        <w:t>Reasons for offering payment terms</w:t>
      </w:r>
    </w:p>
    <w:p w14:paraId="76281A69" w14:textId="2BF4BB7C" w:rsidR="00C9317B" w:rsidRPr="003D0F43" w:rsidRDefault="003D0F43" w:rsidP="00B052BA">
      <w:pPr>
        <w:spacing w:line="240" w:lineRule="auto"/>
        <w:rPr>
          <w:color w:val="283860"/>
          <w:sz w:val="16"/>
          <w:szCs w:val="28"/>
          <w:lang w:val="en-GB"/>
        </w:rPr>
      </w:pPr>
      <w:r w:rsidRPr="003D0F43">
        <w:rPr>
          <w:noProof/>
          <w:color w:val="283860"/>
          <w:sz w:val="16"/>
          <w:szCs w:val="28"/>
          <w:lang w:eastAsia="de-DE"/>
        </w:rPr>
        <w:drawing>
          <wp:inline distT="0" distB="0" distL="0" distR="0" wp14:anchorId="0FA5BEC0" wp14:editId="0277A9D5">
            <wp:extent cx="2637489" cy="148921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8590" cy="1495479"/>
                    </a:xfrm>
                    <a:prstGeom prst="rect">
                      <a:avLst/>
                    </a:prstGeom>
                    <a:noFill/>
                    <a:ln>
                      <a:noFill/>
                    </a:ln>
                  </pic:spPr>
                </pic:pic>
              </a:graphicData>
            </a:graphic>
          </wp:inline>
        </w:drawing>
      </w:r>
    </w:p>
    <w:p w14:paraId="729495F7" w14:textId="23312AF0" w:rsidR="00851F3A" w:rsidRPr="003D0F43" w:rsidRDefault="00851F3A" w:rsidP="007A195C">
      <w:pPr>
        <w:spacing w:line="240" w:lineRule="auto"/>
        <w:rPr>
          <w:color w:val="000000" w:themeColor="text1"/>
          <w:sz w:val="12"/>
          <w:szCs w:val="28"/>
          <w:lang w:val="en-GB"/>
        </w:rPr>
      </w:pPr>
      <w:r w:rsidRPr="003D0F43">
        <w:rPr>
          <w:color w:val="000000" w:themeColor="text1"/>
          <w:sz w:val="12"/>
          <w:szCs w:val="28"/>
          <w:lang w:val="en-GB"/>
        </w:rPr>
        <w:t xml:space="preserve">Source: </w:t>
      </w:r>
      <w:proofErr w:type="spellStart"/>
      <w:r w:rsidRPr="003D0F43">
        <w:rPr>
          <w:color w:val="000000" w:themeColor="text1"/>
          <w:sz w:val="12"/>
          <w:szCs w:val="28"/>
          <w:lang w:val="en-GB"/>
        </w:rPr>
        <w:t>Co</w:t>
      </w:r>
      <w:r w:rsidR="00290E3A" w:rsidRPr="003D0F43">
        <w:rPr>
          <w:color w:val="000000" w:themeColor="text1"/>
          <w:sz w:val="12"/>
          <w:szCs w:val="28"/>
          <w:lang w:val="en-GB"/>
        </w:rPr>
        <w:t>face</w:t>
      </w:r>
      <w:proofErr w:type="spellEnd"/>
      <w:r w:rsidR="00290E3A" w:rsidRPr="003D0F43">
        <w:rPr>
          <w:color w:val="000000" w:themeColor="text1"/>
          <w:sz w:val="12"/>
          <w:szCs w:val="28"/>
          <w:lang w:val="en-GB"/>
        </w:rPr>
        <w:t xml:space="preserve"> </w:t>
      </w:r>
      <w:r w:rsidR="003D0F43" w:rsidRPr="003D0F43">
        <w:rPr>
          <w:color w:val="000000" w:themeColor="text1"/>
          <w:sz w:val="12"/>
          <w:szCs w:val="28"/>
          <w:lang w:val="en-GB"/>
        </w:rPr>
        <w:t xml:space="preserve">Corporate </w:t>
      </w:r>
      <w:r w:rsidR="00290E3A" w:rsidRPr="003D0F43">
        <w:rPr>
          <w:color w:val="000000" w:themeColor="text1"/>
          <w:sz w:val="12"/>
          <w:szCs w:val="28"/>
          <w:lang w:val="en-GB"/>
        </w:rPr>
        <w:t>Payment Survey Germany 2022</w:t>
      </w:r>
    </w:p>
    <w:p w14:paraId="6C4B405E" w14:textId="1C900577" w:rsidR="00474FDC" w:rsidRPr="00062DD2" w:rsidRDefault="009776E4" w:rsidP="00EF2F06">
      <w:pPr>
        <w:pStyle w:val="Listenabsatz"/>
        <w:numPr>
          <w:ilvl w:val="0"/>
          <w:numId w:val="1"/>
        </w:numPr>
        <w:spacing w:line="240" w:lineRule="auto"/>
        <w:jc w:val="both"/>
        <w:rPr>
          <w:color w:val="000000" w:themeColor="text1"/>
          <w:sz w:val="16"/>
          <w:szCs w:val="28"/>
          <w:lang w:val="en-GB"/>
        </w:rPr>
      </w:pPr>
      <w:r w:rsidRPr="00037654">
        <w:rPr>
          <w:color w:val="000000" w:themeColor="text1"/>
          <w:sz w:val="16"/>
          <w:szCs w:val="28"/>
          <w:lang w:val="en-GB"/>
        </w:rPr>
        <w:t xml:space="preserve">According to the data of our payment survey, </w:t>
      </w:r>
      <w:r w:rsidR="00970F87" w:rsidRPr="00037654">
        <w:rPr>
          <w:color w:val="000000" w:themeColor="text1"/>
          <w:sz w:val="16"/>
          <w:szCs w:val="28"/>
          <w:lang w:val="en-GB"/>
        </w:rPr>
        <w:t xml:space="preserve">German </w:t>
      </w:r>
      <w:r w:rsidR="00136C55" w:rsidRPr="00037654">
        <w:rPr>
          <w:color w:val="000000" w:themeColor="text1"/>
          <w:sz w:val="16"/>
          <w:szCs w:val="28"/>
          <w:lang w:val="en-GB"/>
        </w:rPr>
        <w:t xml:space="preserve">companies </w:t>
      </w:r>
      <w:r w:rsidR="00474FDC" w:rsidRPr="00037654">
        <w:rPr>
          <w:color w:val="000000" w:themeColor="text1"/>
          <w:sz w:val="16"/>
          <w:szCs w:val="28"/>
          <w:lang w:val="en-GB"/>
        </w:rPr>
        <w:t>are getting again a bit nervous in 2022 and provided less payment terms to their customers</w:t>
      </w:r>
      <w:r w:rsidR="001F462A" w:rsidRPr="00037654">
        <w:rPr>
          <w:color w:val="000000" w:themeColor="text1"/>
          <w:sz w:val="16"/>
          <w:szCs w:val="28"/>
          <w:lang w:val="en-GB"/>
        </w:rPr>
        <w:t xml:space="preserve"> than in 2021</w:t>
      </w:r>
      <w:r w:rsidR="00474FDC" w:rsidRPr="00037654">
        <w:rPr>
          <w:color w:val="000000" w:themeColor="text1"/>
          <w:sz w:val="16"/>
          <w:szCs w:val="28"/>
          <w:lang w:val="en-GB"/>
        </w:rPr>
        <w:t xml:space="preserve">. While </w:t>
      </w:r>
      <w:r w:rsidR="001F462A" w:rsidRPr="00037654">
        <w:rPr>
          <w:color w:val="000000" w:themeColor="text1"/>
          <w:sz w:val="16"/>
          <w:szCs w:val="28"/>
          <w:lang w:val="en-GB"/>
        </w:rPr>
        <w:t>last year</w:t>
      </w:r>
      <w:r w:rsidR="00474FDC" w:rsidRPr="00037654">
        <w:rPr>
          <w:color w:val="000000" w:themeColor="text1"/>
          <w:sz w:val="16"/>
          <w:szCs w:val="28"/>
          <w:lang w:val="en-GB"/>
        </w:rPr>
        <w:t xml:space="preserve"> the share of companies, who offered payment terms</w:t>
      </w:r>
      <w:r w:rsidR="001F462A" w:rsidRPr="00037654">
        <w:rPr>
          <w:color w:val="000000" w:themeColor="text1"/>
          <w:sz w:val="16"/>
          <w:szCs w:val="28"/>
          <w:lang w:val="en-GB"/>
        </w:rPr>
        <w:t>,</w:t>
      </w:r>
      <w:r w:rsidR="00474FDC" w:rsidRPr="00037654">
        <w:rPr>
          <w:color w:val="000000" w:themeColor="text1"/>
          <w:sz w:val="16"/>
          <w:szCs w:val="28"/>
          <w:lang w:val="en-GB"/>
        </w:rPr>
        <w:t xml:space="preserve"> was at 74%, this </w:t>
      </w:r>
      <w:r w:rsidR="00E66054">
        <w:rPr>
          <w:color w:val="000000" w:themeColor="text1"/>
          <w:sz w:val="16"/>
          <w:szCs w:val="28"/>
          <w:lang w:val="en-GB"/>
        </w:rPr>
        <w:t xml:space="preserve">number </w:t>
      </w:r>
      <w:r w:rsidR="00474FDC" w:rsidRPr="00037654">
        <w:rPr>
          <w:color w:val="000000" w:themeColor="text1"/>
          <w:sz w:val="16"/>
          <w:szCs w:val="28"/>
          <w:lang w:val="en-GB"/>
        </w:rPr>
        <w:t xml:space="preserve">dropped in 2022 to 71%. </w:t>
      </w:r>
      <w:r w:rsidR="00037654" w:rsidRPr="00037654">
        <w:rPr>
          <w:color w:val="000000" w:themeColor="text1"/>
          <w:sz w:val="16"/>
          <w:szCs w:val="28"/>
          <w:lang w:val="en-GB"/>
        </w:rPr>
        <w:t>The ma</w:t>
      </w:r>
      <w:r w:rsidR="00E66054">
        <w:rPr>
          <w:color w:val="000000" w:themeColor="text1"/>
          <w:sz w:val="16"/>
          <w:szCs w:val="28"/>
          <w:lang w:val="en-GB"/>
        </w:rPr>
        <w:t>in driver for this development w</w:t>
      </w:r>
      <w:r w:rsidR="00037654" w:rsidRPr="00037654">
        <w:rPr>
          <w:color w:val="000000" w:themeColor="text1"/>
          <w:sz w:val="16"/>
          <w:szCs w:val="28"/>
          <w:lang w:val="en-GB"/>
        </w:rPr>
        <w:t xml:space="preserve">ere companies who are mainly active in Germany. Here the share of companies who offered payment terms decreased from 73% to 68%, while the share for mainly exporting companies </w:t>
      </w:r>
      <w:r w:rsidR="00037654" w:rsidRPr="00062DD2">
        <w:rPr>
          <w:color w:val="000000" w:themeColor="text1"/>
          <w:sz w:val="16"/>
          <w:szCs w:val="28"/>
          <w:lang w:val="en-GB"/>
        </w:rPr>
        <w:t xml:space="preserve">increased (from 77% to 81%). </w:t>
      </w:r>
      <w:r w:rsidR="00E66054">
        <w:rPr>
          <w:color w:val="000000" w:themeColor="text1"/>
          <w:sz w:val="16"/>
          <w:szCs w:val="28"/>
          <w:lang w:val="en-GB"/>
        </w:rPr>
        <w:t>One explanation for this phenomenon</w:t>
      </w:r>
      <w:r w:rsidR="00037654" w:rsidRPr="00062DD2">
        <w:rPr>
          <w:color w:val="000000" w:themeColor="text1"/>
          <w:sz w:val="16"/>
          <w:szCs w:val="28"/>
          <w:lang w:val="en-GB"/>
        </w:rPr>
        <w:t xml:space="preserve"> could be </w:t>
      </w:r>
      <w:r w:rsidR="00E66054">
        <w:rPr>
          <w:color w:val="000000" w:themeColor="text1"/>
          <w:sz w:val="16"/>
          <w:szCs w:val="28"/>
          <w:lang w:val="en-GB"/>
        </w:rPr>
        <w:t xml:space="preserve">the </w:t>
      </w:r>
      <w:r w:rsidR="00037654" w:rsidRPr="00062DD2">
        <w:rPr>
          <w:color w:val="000000" w:themeColor="text1"/>
          <w:sz w:val="16"/>
          <w:szCs w:val="28"/>
          <w:lang w:val="en-GB"/>
        </w:rPr>
        <w:t xml:space="preserve">longer delivery times abroad. </w:t>
      </w:r>
      <w:r w:rsidR="00E66054">
        <w:rPr>
          <w:color w:val="000000" w:themeColor="text1"/>
          <w:sz w:val="16"/>
          <w:szCs w:val="28"/>
          <w:lang w:val="en-GB"/>
        </w:rPr>
        <w:t xml:space="preserve">Nevertheless, this development of on average less payment terms </w:t>
      </w:r>
      <w:r w:rsidR="00474FDC" w:rsidRPr="00062DD2">
        <w:rPr>
          <w:color w:val="000000" w:themeColor="text1"/>
          <w:sz w:val="16"/>
          <w:szCs w:val="28"/>
          <w:lang w:val="en-GB"/>
        </w:rPr>
        <w:t>is still noticeably away from the situation in 2020</w:t>
      </w:r>
      <w:r w:rsidR="00E66054">
        <w:rPr>
          <w:color w:val="000000" w:themeColor="text1"/>
          <w:sz w:val="16"/>
          <w:szCs w:val="28"/>
          <w:lang w:val="en-GB"/>
        </w:rPr>
        <w:t xml:space="preserve"> as well as the pre-pandemic times. In </w:t>
      </w:r>
      <w:r w:rsidR="00474FDC" w:rsidRPr="00062DD2">
        <w:rPr>
          <w:color w:val="000000" w:themeColor="text1"/>
          <w:sz w:val="16"/>
          <w:szCs w:val="28"/>
          <w:lang w:val="en-GB"/>
        </w:rPr>
        <w:t xml:space="preserve">the first year of the pandemic, </w:t>
      </w:r>
      <w:r w:rsidR="00E66054">
        <w:rPr>
          <w:color w:val="000000" w:themeColor="text1"/>
          <w:sz w:val="16"/>
          <w:szCs w:val="28"/>
          <w:lang w:val="en-GB"/>
        </w:rPr>
        <w:t xml:space="preserve">in </w:t>
      </w:r>
      <w:r w:rsidR="00037654" w:rsidRPr="00062DD2">
        <w:rPr>
          <w:color w:val="000000" w:themeColor="text1"/>
          <w:sz w:val="16"/>
          <w:szCs w:val="28"/>
          <w:lang w:val="en-GB"/>
        </w:rPr>
        <w:t>total</w:t>
      </w:r>
      <w:r w:rsidR="00474FDC" w:rsidRPr="00062DD2">
        <w:rPr>
          <w:color w:val="000000" w:themeColor="text1"/>
          <w:sz w:val="16"/>
          <w:szCs w:val="28"/>
          <w:lang w:val="en-GB"/>
        </w:rPr>
        <w:t xml:space="preserve"> only 62% of the survey’s participants offered payment terms. </w:t>
      </w:r>
      <w:r w:rsidR="00037654" w:rsidRPr="00062DD2">
        <w:rPr>
          <w:color w:val="000000" w:themeColor="text1"/>
          <w:sz w:val="16"/>
          <w:szCs w:val="28"/>
          <w:lang w:val="en-GB"/>
        </w:rPr>
        <w:t>The pre-pandemic</w:t>
      </w:r>
      <w:r w:rsidR="00037654" w:rsidRPr="00062DD2">
        <w:rPr>
          <w:rStyle w:val="Funotenzeichen"/>
          <w:color w:val="000000" w:themeColor="text1"/>
          <w:sz w:val="16"/>
          <w:szCs w:val="28"/>
          <w:lang w:val="en-GB"/>
        </w:rPr>
        <w:footnoteReference w:id="8"/>
      </w:r>
      <w:r w:rsidR="00E66054">
        <w:rPr>
          <w:color w:val="000000" w:themeColor="text1"/>
          <w:sz w:val="16"/>
          <w:szCs w:val="28"/>
          <w:lang w:val="en-GB"/>
        </w:rPr>
        <w:t xml:space="preserve"> average, however, lays at</w:t>
      </w:r>
      <w:r w:rsidR="00037654" w:rsidRPr="00062DD2">
        <w:rPr>
          <w:color w:val="000000" w:themeColor="text1"/>
          <w:sz w:val="16"/>
          <w:szCs w:val="28"/>
          <w:lang w:val="en-GB"/>
        </w:rPr>
        <w:t xml:space="preserve"> 83%. </w:t>
      </w:r>
    </w:p>
    <w:p w14:paraId="7D350F0E" w14:textId="1CE10708" w:rsidR="00DC3C6E" w:rsidRPr="00C91748" w:rsidRDefault="00D61B35" w:rsidP="00D83456">
      <w:pPr>
        <w:pStyle w:val="Listenabsatz"/>
        <w:numPr>
          <w:ilvl w:val="0"/>
          <w:numId w:val="1"/>
        </w:numPr>
        <w:spacing w:line="240" w:lineRule="auto"/>
        <w:jc w:val="both"/>
        <w:rPr>
          <w:color w:val="000000" w:themeColor="text1"/>
          <w:sz w:val="16"/>
          <w:szCs w:val="28"/>
          <w:lang w:val="en-GB"/>
        </w:rPr>
      </w:pPr>
      <w:r w:rsidRPr="00062DD2">
        <w:rPr>
          <w:color w:val="000000" w:themeColor="text1"/>
          <w:sz w:val="16"/>
          <w:szCs w:val="28"/>
          <w:lang w:val="en-GB"/>
        </w:rPr>
        <w:t>Short-term</w:t>
      </w:r>
      <w:r w:rsidR="00984412" w:rsidRPr="00062DD2">
        <w:rPr>
          <w:color w:val="000000" w:themeColor="text1"/>
          <w:sz w:val="16"/>
          <w:szCs w:val="28"/>
          <w:lang w:val="en-GB"/>
        </w:rPr>
        <w:t xml:space="preserve"> </w:t>
      </w:r>
      <w:r w:rsidR="00176682" w:rsidRPr="00C91748">
        <w:rPr>
          <w:color w:val="000000" w:themeColor="text1"/>
          <w:sz w:val="16"/>
          <w:szCs w:val="28"/>
          <w:lang w:val="en-GB"/>
        </w:rPr>
        <w:t>payment terms</w:t>
      </w:r>
      <w:r w:rsidR="00984412" w:rsidRPr="00C91748">
        <w:rPr>
          <w:color w:val="000000" w:themeColor="text1"/>
          <w:sz w:val="16"/>
          <w:szCs w:val="28"/>
          <w:lang w:val="en-GB"/>
        </w:rPr>
        <w:t xml:space="preserve"> (between 0</w:t>
      </w:r>
      <w:r w:rsidR="00A02920" w:rsidRPr="00C91748">
        <w:rPr>
          <w:color w:val="000000" w:themeColor="text1"/>
          <w:sz w:val="16"/>
          <w:szCs w:val="28"/>
          <w:lang w:val="en-GB"/>
        </w:rPr>
        <w:t xml:space="preserve"> to</w:t>
      </w:r>
      <w:r w:rsidR="00984412" w:rsidRPr="00C91748">
        <w:rPr>
          <w:color w:val="000000" w:themeColor="text1"/>
          <w:sz w:val="16"/>
          <w:szCs w:val="28"/>
          <w:lang w:val="en-GB"/>
        </w:rPr>
        <w:t xml:space="preserve"> 60 da</w:t>
      </w:r>
      <w:r w:rsidR="00C000D4" w:rsidRPr="00C91748">
        <w:rPr>
          <w:color w:val="000000" w:themeColor="text1"/>
          <w:sz w:val="16"/>
          <w:szCs w:val="28"/>
          <w:lang w:val="en-GB"/>
        </w:rPr>
        <w:t>ys)</w:t>
      </w:r>
      <w:r w:rsidR="00C9317B" w:rsidRPr="00C91748">
        <w:rPr>
          <w:color w:val="000000" w:themeColor="text1"/>
          <w:sz w:val="16"/>
          <w:szCs w:val="28"/>
          <w:lang w:val="en-GB"/>
        </w:rPr>
        <w:t xml:space="preserve"> dominate the </w:t>
      </w:r>
      <w:r w:rsidR="00970F87" w:rsidRPr="00C91748">
        <w:rPr>
          <w:color w:val="000000" w:themeColor="text1"/>
          <w:sz w:val="16"/>
          <w:szCs w:val="28"/>
          <w:lang w:val="en-GB"/>
        </w:rPr>
        <w:t>Ger</w:t>
      </w:r>
      <w:r w:rsidR="000F4C3B" w:rsidRPr="00C91748">
        <w:rPr>
          <w:color w:val="000000" w:themeColor="text1"/>
          <w:sz w:val="16"/>
          <w:szCs w:val="28"/>
          <w:lang w:val="en-GB"/>
        </w:rPr>
        <w:t>ma</w:t>
      </w:r>
      <w:r w:rsidR="00970F87" w:rsidRPr="00C91748">
        <w:rPr>
          <w:color w:val="000000" w:themeColor="text1"/>
          <w:sz w:val="16"/>
          <w:szCs w:val="28"/>
          <w:lang w:val="en-GB"/>
        </w:rPr>
        <w:t>n</w:t>
      </w:r>
      <w:r w:rsidR="007F04AD" w:rsidRPr="00C91748">
        <w:rPr>
          <w:color w:val="000000" w:themeColor="text1"/>
          <w:sz w:val="16"/>
          <w:szCs w:val="28"/>
          <w:lang w:val="en-GB"/>
        </w:rPr>
        <w:t xml:space="preserve"> business landscape. </w:t>
      </w:r>
      <w:r w:rsidR="00037654" w:rsidRPr="00C91748">
        <w:rPr>
          <w:color w:val="000000" w:themeColor="text1"/>
          <w:sz w:val="16"/>
          <w:szCs w:val="28"/>
          <w:lang w:val="en-GB"/>
        </w:rPr>
        <w:t>90</w:t>
      </w:r>
      <w:r w:rsidR="00C9317B" w:rsidRPr="00C91748">
        <w:rPr>
          <w:color w:val="000000" w:themeColor="text1"/>
          <w:sz w:val="16"/>
          <w:szCs w:val="28"/>
          <w:lang w:val="en-GB"/>
        </w:rPr>
        <w:t>% of companies</w:t>
      </w:r>
      <w:r w:rsidR="0027453F">
        <w:rPr>
          <w:color w:val="000000" w:themeColor="text1"/>
          <w:sz w:val="16"/>
          <w:szCs w:val="28"/>
          <w:lang w:val="en-GB"/>
        </w:rPr>
        <w:t xml:space="preserve"> that provided payment terms</w:t>
      </w:r>
      <w:r w:rsidR="00C9317B" w:rsidRPr="00C91748">
        <w:rPr>
          <w:color w:val="000000" w:themeColor="text1"/>
          <w:sz w:val="16"/>
          <w:szCs w:val="28"/>
          <w:lang w:val="en-GB"/>
        </w:rPr>
        <w:t xml:space="preserve"> request</w:t>
      </w:r>
      <w:r w:rsidR="00A3018A" w:rsidRPr="00C91748">
        <w:rPr>
          <w:color w:val="000000" w:themeColor="text1"/>
          <w:sz w:val="16"/>
          <w:szCs w:val="28"/>
          <w:lang w:val="en-GB"/>
        </w:rPr>
        <w:t>ed</w:t>
      </w:r>
      <w:r w:rsidR="00C9317B" w:rsidRPr="00C91748">
        <w:rPr>
          <w:color w:val="000000" w:themeColor="text1"/>
          <w:sz w:val="16"/>
          <w:szCs w:val="28"/>
          <w:lang w:val="en-GB"/>
        </w:rPr>
        <w:t xml:space="preserve"> </w:t>
      </w:r>
      <w:r w:rsidR="0027453F">
        <w:rPr>
          <w:color w:val="000000" w:themeColor="text1"/>
          <w:sz w:val="16"/>
          <w:szCs w:val="28"/>
          <w:lang w:val="en-GB"/>
        </w:rPr>
        <w:t>them</w:t>
      </w:r>
      <w:r w:rsidR="00C9317B" w:rsidRPr="00C91748">
        <w:rPr>
          <w:color w:val="000000" w:themeColor="text1"/>
          <w:sz w:val="16"/>
          <w:szCs w:val="28"/>
          <w:lang w:val="en-GB"/>
        </w:rPr>
        <w:t xml:space="preserve"> </w:t>
      </w:r>
      <w:r w:rsidR="00176682" w:rsidRPr="00C91748">
        <w:rPr>
          <w:color w:val="000000" w:themeColor="text1"/>
          <w:sz w:val="16"/>
          <w:szCs w:val="28"/>
          <w:lang w:val="en-GB"/>
        </w:rPr>
        <w:t xml:space="preserve">to </w:t>
      </w:r>
      <w:r w:rsidRPr="00C91748">
        <w:rPr>
          <w:color w:val="000000" w:themeColor="text1"/>
          <w:sz w:val="16"/>
          <w:szCs w:val="28"/>
          <w:lang w:val="en-GB"/>
        </w:rPr>
        <w:t>be</w:t>
      </w:r>
      <w:r w:rsidR="00C9317B" w:rsidRPr="00C91748">
        <w:rPr>
          <w:color w:val="000000" w:themeColor="text1"/>
          <w:sz w:val="16"/>
          <w:szCs w:val="28"/>
          <w:lang w:val="en-GB"/>
        </w:rPr>
        <w:t xml:space="preserve"> made within 60 days</w:t>
      </w:r>
      <w:r w:rsidR="003B70F2" w:rsidRPr="00C91748">
        <w:rPr>
          <w:color w:val="000000" w:themeColor="text1"/>
          <w:sz w:val="16"/>
          <w:szCs w:val="28"/>
          <w:lang w:val="en-GB"/>
        </w:rPr>
        <w:t xml:space="preserve"> </w:t>
      </w:r>
      <w:r w:rsidR="00037654" w:rsidRPr="00C91748">
        <w:rPr>
          <w:color w:val="000000" w:themeColor="text1"/>
          <w:sz w:val="16"/>
          <w:szCs w:val="28"/>
          <w:lang w:val="en-GB"/>
        </w:rPr>
        <w:t>in 2022</w:t>
      </w:r>
      <w:r w:rsidR="00DC3C6E" w:rsidRPr="00C91748">
        <w:rPr>
          <w:color w:val="000000" w:themeColor="text1"/>
          <w:sz w:val="16"/>
          <w:szCs w:val="28"/>
          <w:lang w:val="en-GB"/>
        </w:rPr>
        <w:t xml:space="preserve">, which </w:t>
      </w:r>
      <w:r w:rsidR="00037654" w:rsidRPr="00C91748">
        <w:rPr>
          <w:color w:val="000000" w:themeColor="text1"/>
          <w:sz w:val="16"/>
          <w:szCs w:val="28"/>
          <w:lang w:val="en-GB"/>
        </w:rPr>
        <w:t>is a bit higher than the share of the last three years</w:t>
      </w:r>
      <w:r w:rsidR="00EC1261" w:rsidRPr="00C91748">
        <w:rPr>
          <w:color w:val="000000" w:themeColor="text1"/>
          <w:sz w:val="16"/>
          <w:szCs w:val="28"/>
          <w:lang w:val="en-GB"/>
        </w:rPr>
        <w:t xml:space="preserve"> </w:t>
      </w:r>
      <w:r w:rsidR="003B70F2" w:rsidRPr="00C91748">
        <w:rPr>
          <w:b/>
          <w:color w:val="000000" w:themeColor="text1"/>
          <w:sz w:val="16"/>
          <w:szCs w:val="28"/>
          <w:lang w:val="en-GB"/>
        </w:rPr>
        <w:t>(Chart 1)</w:t>
      </w:r>
      <w:r w:rsidR="00C9317B" w:rsidRPr="00C91748">
        <w:rPr>
          <w:color w:val="000000" w:themeColor="text1"/>
          <w:sz w:val="16"/>
          <w:szCs w:val="28"/>
          <w:lang w:val="en-GB"/>
        </w:rPr>
        <w:t>.</w:t>
      </w:r>
      <w:r w:rsidR="007F04AD" w:rsidRPr="00C91748">
        <w:rPr>
          <w:color w:val="000000" w:themeColor="text1"/>
          <w:sz w:val="16"/>
          <w:szCs w:val="28"/>
          <w:lang w:val="en-GB"/>
        </w:rPr>
        <w:t xml:space="preserve"> </w:t>
      </w:r>
      <w:r w:rsidR="00037654" w:rsidRPr="00C91748">
        <w:rPr>
          <w:color w:val="000000" w:themeColor="text1"/>
          <w:sz w:val="16"/>
          <w:szCs w:val="28"/>
          <w:lang w:val="en-GB"/>
        </w:rPr>
        <w:t>Beside of that, t</w:t>
      </w:r>
      <w:r w:rsidR="00211BF6" w:rsidRPr="00C91748">
        <w:rPr>
          <w:color w:val="000000" w:themeColor="text1"/>
          <w:sz w:val="16"/>
          <w:szCs w:val="28"/>
          <w:lang w:val="en-GB"/>
        </w:rPr>
        <w:t xml:space="preserve">he distribution of </w:t>
      </w:r>
      <w:r w:rsidR="00037654" w:rsidRPr="00C91748">
        <w:rPr>
          <w:color w:val="000000" w:themeColor="text1"/>
          <w:sz w:val="16"/>
          <w:szCs w:val="28"/>
          <w:lang w:val="en-GB"/>
        </w:rPr>
        <w:t xml:space="preserve">the other </w:t>
      </w:r>
      <w:r w:rsidR="00211BF6" w:rsidRPr="00C91748">
        <w:rPr>
          <w:color w:val="000000" w:themeColor="text1"/>
          <w:sz w:val="16"/>
          <w:szCs w:val="28"/>
          <w:lang w:val="en-GB"/>
        </w:rPr>
        <w:t>time</w:t>
      </w:r>
      <w:r w:rsidR="00A3018A" w:rsidRPr="00C91748">
        <w:rPr>
          <w:color w:val="000000" w:themeColor="text1"/>
          <w:sz w:val="16"/>
          <w:szCs w:val="28"/>
          <w:lang w:val="en-GB"/>
        </w:rPr>
        <w:t>-</w:t>
      </w:r>
      <w:r w:rsidR="00F01F96" w:rsidRPr="00C91748">
        <w:rPr>
          <w:color w:val="000000" w:themeColor="text1"/>
          <w:sz w:val="16"/>
          <w:szCs w:val="28"/>
          <w:lang w:val="en-GB"/>
        </w:rPr>
        <w:t>range</w:t>
      </w:r>
      <w:r w:rsidR="00A3018A" w:rsidRPr="00C91748">
        <w:rPr>
          <w:color w:val="000000" w:themeColor="text1"/>
          <w:sz w:val="16"/>
          <w:szCs w:val="28"/>
          <w:lang w:val="en-GB"/>
        </w:rPr>
        <w:t>s</w:t>
      </w:r>
      <w:r w:rsidR="00F01F96" w:rsidRPr="00C91748">
        <w:rPr>
          <w:color w:val="000000" w:themeColor="text1"/>
          <w:sz w:val="16"/>
          <w:szCs w:val="28"/>
          <w:lang w:val="en-GB"/>
        </w:rPr>
        <w:t xml:space="preserve"> </w:t>
      </w:r>
      <w:r w:rsidR="00211BF6" w:rsidRPr="00C91748">
        <w:rPr>
          <w:color w:val="000000" w:themeColor="text1"/>
          <w:sz w:val="16"/>
          <w:szCs w:val="28"/>
          <w:lang w:val="en-GB"/>
        </w:rPr>
        <w:t>for payment</w:t>
      </w:r>
      <w:r w:rsidR="00DD7276" w:rsidRPr="00C91748">
        <w:rPr>
          <w:color w:val="000000" w:themeColor="text1"/>
          <w:sz w:val="16"/>
          <w:szCs w:val="28"/>
          <w:lang w:val="en-GB"/>
        </w:rPr>
        <w:t xml:space="preserve"> terms </w:t>
      </w:r>
      <w:r w:rsidR="0027453F">
        <w:rPr>
          <w:color w:val="000000" w:themeColor="text1"/>
          <w:sz w:val="16"/>
          <w:szCs w:val="28"/>
          <w:lang w:val="en-GB"/>
        </w:rPr>
        <w:t>has</w:t>
      </w:r>
      <w:r w:rsidR="00502C7F" w:rsidRPr="00C91748">
        <w:rPr>
          <w:color w:val="000000" w:themeColor="text1"/>
          <w:sz w:val="16"/>
          <w:szCs w:val="28"/>
          <w:lang w:val="en-GB"/>
        </w:rPr>
        <w:t xml:space="preserve"> </w:t>
      </w:r>
      <w:r w:rsidR="00062DD2" w:rsidRPr="00C91748">
        <w:rPr>
          <w:color w:val="000000" w:themeColor="text1"/>
          <w:sz w:val="16"/>
          <w:szCs w:val="28"/>
          <w:lang w:val="en-GB"/>
        </w:rPr>
        <w:t>only marginally changed</w:t>
      </w:r>
      <w:r w:rsidR="00DD7276" w:rsidRPr="00C91748">
        <w:rPr>
          <w:color w:val="000000" w:themeColor="text1"/>
          <w:sz w:val="16"/>
          <w:szCs w:val="28"/>
          <w:lang w:val="en-GB"/>
        </w:rPr>
        <w:t>, which is why the average payment term in 202</w:t>
      </w:r>
      <w:r w:rsidR="00062DD2" w:rsidRPr="00C91748">
        <w:rPr>
          <w:color w:val="000000" w:themeColor="text1"/>
          <w:sz w:val="16"/>
          <w:szCs w:val="28"/>
          <w:lang w:val="en-GB"/>
        </w:rPr>
        <w:t>2</w:t>
      </w:r>
      <w:r w:rsidR="00DD7276" w:rsidRPr="00C91748">
        <w:rPr>
          <w:color w:val="000000" w:themeColor="text1"/>
          <w:sz w:val="16"/>
          <w:szCs w:val="28"/>
          <w:lang w:val="en-GB"/>
        </w:rPr>
        <w:t xml:space="preserve"> </w:t>
      </w:r>
      <w:r w:rsidR="00062DD2" w:rsidRPr="00C91748">
        <w:rPr>
          <w:color w:val="000000" w:themeColor="text1"/>
          <w:sz w:val="16"/>
          <w:szCs w:val="28"/>
          <w:lang w:val="en-GB"/>
        </w:rPr>
        <w:t xml:space="preserve">remained with 32.8 days almost unchanged compared to 32.6 days in 2021. </w:t>
      </w:r>
    </w:p>
    <w:p w14:paraId="242FA745" w14:textId="7FD8E807" w:rsidR="00DD7276" w:rsidRPr="00410591" w:rsidRDefault="000F4C3B" w:rsidP="00DD7276">
      <w:pPr>
        <w:pStyle w:val="Listenabsatz"/>
        <w:numPr>
          <w:ilvl w:val="0"/>
          <w:numId w:val="1"/>
        </w:numPr>
        <w:rPr>
          <w:color w:val="000000" w:themeColor="text1"/>
          <w:sz w:val="16"/>
          <w:szCs w:val="28"/>
          <w:lang w:val="en-GB"/>
        </w:rPr>
      </w:pPr>
      <w:r w:rsidRPr="00C91748">
        <w:rPr>
          <w:color w:val="000000" w:themeColor="text1"/>
          <w:sz w:val="16"/>
          <w:szCs w:val="28"/>
          <w:lang w:val="en-GB"/>
        </w:rPr>
        <w:t xml:space="preserve">Looking at </w:t>
      </w:r>
      <w:r w:rsidR="0027453F">
        <w:rPr>
          <w:color w:val="000000" w:themeColor="text1"/>
          <w:sz w:val="16"/>
          <w:szCs w:val="28"/>
          <w:lang w:val="en-GB"/>
        </w:rPr>
        <w:t xml:space="preserve">the </w:t>
      </w:r>
      <w:r w:rsidRPr="00D636E3">
        <w:rPr>
          <w:color w:val="000000" w:themeColor="text1"/>
          <w:sz w:val="16"/>
          <w:szCs w:val="28"/>
          <w:lang w:val="en-GB"/>
        </w:rPr>
        <w:t>sectors</w:t>
      </w:r>
      <w:r w:rsidR="0013700B" w:rsidRPr="00D636E3">
        <w:rPr>
          <w:color w:val="000000" w:themeColor="text1"/>
          <w:sz w:val="16"/>
          <w:szCs w:val="28"/>
          <w:lang w:val="en-GB"/>
        </w:rPr>
        <w:t>,</w:t>
      </w:r>
      <w:r w:rsidRPr="00D636E3">
        <w:rPr>
          <w:color w:val="000000" w:themeColor="text1"/>
          <w:sz w:val="16"/>
          <w:szCs w:val="28"/>
          <w:lang w:val="en-GB"/>
        </w:rPr>
        <w:t xml:space="preserve"> </w:t>
      </w:r>
      <w:r w:rsidR="00211BF6" w:rsidRPr="00D636E3">
        <w:rPr>
          <w:color w:val="000000" w:themeColor="text1"/>
          <w:sz w:val="16"/>
          <w:szCs w:val="28"/>
          <w:lang w:val="en-GB"/>
        </w:rPr>
        <w:t xml:space="preserve">construction </w:t>
      </w:r>
      <w:r w:rsidR="00082ACB" w:rsidRPr="00D636E3">
        <w:rPr>
          <w:color w:val="000000" w:themeColor="text1"/>
          <w:sz w:val="16"/>
          <w:szCs w:val="28"/>
          <w:lang w:val="en-GB"/>
        </w:rPr>
        <w:t>still has</w:t>
      </w:r>
      <w:r w:rsidR="00F01F96" w:rsidRPr="00D636E3">
        <w:rPr>
          <w:color w:val="000000" w:themeColor="text1"/>
          <w:sz w:val="16"/>
          <w:szCs w:val="28"/>
          <w:lang w:val="en-GB"/>
        </w:rPr>
        <w:t xml:space="preserve"> </w:t>
      </w:r>
      <w:r w:rsidR="00211BF6" w:rsidRPr="00D636E3">
        <w:rPr>
          <w:color w:val="000000" w:themeColor="text1"/>
          <w:sz w:val="16"/>
          <w:szCs w:val="28"/>
          <w:lang w:val="en-GB"/>
        </w:rPr>
        <w:t>the shortest payment term</w:t>
      </w:r>
      <w:r w:rsidR="00F01F96" w:rsidRPr="00D636E3">
        <w:rPr>
          <w:color w:val="000000" w:themeColor="text1"/>
          <w:sz w:val="16"/>
          <w:szCs w:val="28"/>
          <w:lang w:val="en-GB"/>
        </w:rPr>
        <w:t>s</w:t>
      </w:r>
      <w:r w:rsidR="007B60C8" w:rsidRPr="00D636E3">
        <w:rPr>
          <w:color w:val="000000" w:themeColor="text1"/>
          <w:sz w:val="16"/>
          <w:szCs w:val="28"/>
          <w:lang w:val="en-GB"/>
        </w:rPr>
        <w:t>:</w:t>
      </w:r>
      <w:r w:rsidR="00F01F96" w:rsidRPr="00D636E3">
        <w:rPr>
          <w:color w:val="000000" w:themeColor="text1"/>
          <w:sz w:val="16"/>
          <w:szCs w:val="28"/>
          <w:lang w:val="en-GB"/>
        </w:rPr>
        <w:t xml:space="preserve"> </w:t>
      </w:r>
      <w:r w:rsidR="00211BF6" w:rsidRPr="00D636E3">
        <w:rPr>
          <w:color w:val="000000" w:themeColor="text1"/>
          <w:sz w:val="16"/>
          <w:szCs w:val="28"/>
          <w:lang w:val="en-GB"/>
        </w:rPr>
        <w:t>7</w:t>
      </w:r>
      <w:r w:rsidR="00062DD2" w:rsidRPr="00D636E3">
        <w:rPr>
          <w:color w:val="000000" w:themeColor="text1"/>
          <w:sz w:val="16"/>
          <w:szCs w:val="28"/>
          <w:lang w:val="en-GB"/>
        </w:rPr>
        <w:t>3</w:t>
      </w:r>
      <w:r w:rsidR="00211BF6" w:rsidRPr="00D636E3">
        <w:rPr>
          <w:color w:val="000000" w:themeColor="text1"/>
          <w:sz w:val="16"/>
          <w:szCs w:val="28"/>
          <w:lang w:val="en-GB"/>
        </w:rPr>
        <w:t xml:space="preserve">% of participants expect their invoices </w:t>
      </w:r>
      <w:r w:rsidR="00F01F96" w:rsidRPr="00D636E3">
        <w:rPr>
          <w:color w:val="000000" w:themeColor="text1"/>
          <w:sz w:val="16"/>
          <w:szCs w:val="28"/>
          <w:lang w:val="en-GB"/>
        </w:rPr>
        <w:t xml:space="preserve">to be </w:t>
      </w:r>
      <w:r w:rsidR="00211BF6" w:rsidRPr="00D636E3">
        <w:rPr>
          <w:color w:val="000000" w:themeColor="text1"/>
          <w:sz w:val="16"/>
          <w:szCs w:val="28"/>
          <w:lang w:val="en-GB"/>
        </w:rPr>
        <w:t>paid within the first 30 days</w:t>
      </w:r>
      <w:r w:rsidR="005C5E30" w:rsidRPr="00D636E3">
        <w:rPr>
          <w:color w:val="000000" w:themeColor="text1"/>
          <w:sz w:val="16"/>
          <w:szCs w:val="28"/>
          <w:lang w:val="en-GB"/>
        </w:rPr>
        <w:t xml:space="preserve"> </w:t>
      </w:r>
      <w:r w:rsidR="005C5E30" w:rsidRPr="00D636E3">
        <w:rPr>
          <w:b/>
          <w:color w:val="000000" w:themeColor="text1"/>
          <w:sz w:val="16"/>
          <w:szCs w:val="28"/>
          <w:lang w:val="en-GB"/>
        </w:rPr>
        <w:t>(Chart 2)</w:t>
      </w:r>
      <w:r w:rsidR="00211BF6" w:rsidRPr="00D636E3">
        <w:rPr>
          <w:color w:val="000000" w:themeColor="text1"/>
          <w:sz w:val="16"/>
          <w:szCs w:val="28"/>
          <w:lang w:val="en-GB"/>
        </w:rPr>
        <w:t xml:space="preserve">. </w:t>
      </w:r>
      <w:r w:rsidR="005C5E30" w:rsidRPr="00D636E3">
        <w:rPr>
          <w:color w:val="000000" w:themeColor="text1"/>
          <w:sz w:val="16"/>
          <w:szCs w:val="28"/>
          <w:lang w:val="en-GB"/>
        </w:rPr>
        <w:t>In 202</w:t>
      </w:r>
      <w:r w:rsidR="00C91748" w:rsidRPr="00D636E3">
        <w:rPr>
          <w:color w:val="000000" w:themeColor="text1"/>
          <w:sz w:val="16"/>
          <w:szCs w:val="28"/>
          <w:lang w:val="en-GB"/>
        </w:rPr>
        <w:t>2</w:t>
      </w:r>
      <w:r w:rsidR="005C5E30" w:rsidRPr="00D636E3">
        <w:rPr>
          <w:color w:val="000000" w:themeColor="text1"/>
          <w:sz w:val="16"/>
          <w:szCs w:val="28"/>
          <w:lang w:val="en-GB"/>
        </w:rPr>
        <w:t xml:space="preserve">, </w:t>
      </w:r>
      <w:r w:rsidR="0027453F">
        <w:rPr>
          <w:color w:val="000000" w:themeColor="text1"/>
          <w:sz w:val="16"/>
          <w:szCs w:val="28"/>
          <w:lang w:val="en-GB"/>
        </w:rPr>
        <w:t>9</w:t>
      </w:r>
      <w:r w:rsidR="005C5E30" w:rsidRPr="00D636E3">
        <w:rPr>
          <w:color w:val="000000" w:themeColor="text1"/>
          <w:sz w:val="16"/>
          <w:szCs w:val="28"/>
          <w:lang w:val="en-GB"/>
        </w:rPr>
        <w:t xml:space="preserve"> out of 1</w:t>
      </w:r>
      <w:r w:rsidR="00C91748" w:rsidRPr="00D636E3">
        <w:rPr>
          <w:color w:val="000000" w:themeColor="text1"/>
          <w:sz w:val="16"/>
          <w:szCs w:val="28"/>
          <w:lang w:val="en-GB"/>
        </w:rPr>
        <w:t>3</w:t>
      </w:r>
      <w:r w:rsidR="005C5E30" w:rsidRPr="00D636E3">
        <w:rPr>
          <w:color w:val="000000" w:themeColor="text1"/>
          <w:sz w:val="16"/>
          <w:szCs w:val="28"/>
          <w:lang w:val="en-GB"/>
        </w:rPr>
        <w:t xml:space="preserve"> sectors offered payment</w:t>
      </w:r>
      <w:r w:rsidR="007B60C8" w:rsidRPr="00D636E3">
        <w:rPr>
          <w:color w:val="000000" w:themeColor="text1"/>
          <w:sz w:val="16"/>
          <w:szCs w:val="28"/>
          <w:lang w:val="en-GB"/>
        </w:rPr>
        <w:t xml:space="preserve"> </w:t>
      </w:r>
      <w:r w:rsidR="005C5E30" w:rsidRPr="00D636E3">
        <w:rPr>
          <w:color w:val="000000" w:themeColor="text1"/>
          <w:sz w:val="16"/>
          <w:szCs w:val="28"/>
          <w:lang w:val="en-GB"/>
        </w:rPr>
        <w:t xml:space="preserve">terms longer than 90 days, while </w:t>
      </w:r>
      <w:r w:rsidR="00150365" w:rsidRPr="00D636E3">
        <w:rPr>
          <w:color w:val="000000" w:themeColor="text1"/>
          <w:sz w:val="16"/>
          <w:szCs w:val="28"/>
          <w:lang w:val="en-GB"/>
        </w:rPr>
        <w:t>ultra-long</w:t>
      </w:r>
      <w:r w:rsidR="00065683" w:rsidRPr="00D636E3">
        <w:rPr>
          <w:color w:val="000000" w:themeColor="text1"/>
          <w:sz w:val="16"/>
          <w:szCs w:val="28"/>
          <w:lang w:val="en-GB"/>
        </w:rPr>
        <w:t xml:space="preserve"> </w:t>
      </w:r>
      <w:r w:rsidR="005C5E30" w:rsidRPr="00D636E3">
        <w:rPr>
          <w:color w:val="000000" w:themeColor="text1"/>
          <w:sz w:val="16"/>
          <w:szCs w:val="28"/>
          <w:lang w:val="en-GB"/>
        </w:rPr>
        <w:t xml:space="preserve">payment </w:t>
      </w:r>
      <w:r w:rsidR="005C5E30" w:rsidRPr="00410591">
        <w:rPr>
          <w:color w:val="000000" w:themeColor="text1"/>
          <w:sz w:val="16"/>
          <w:szCs w:val="28"/>
          <w:lang w:val="en-GB"/>
        </w:rPr>
        <w:t xml:space="preserve">terms </w:t>
      </w:r>
      <w:r w:rsidR="00065683" w:rsidRPr="00410591">
        <w:rPr>
          <w:color w:val="000000" w:themeColor="text1"/>
          <w:sz w:val="16"/>
          <w:szCs w:val="28"/>
          <w:lang w:val="en-GB"/>
        </w:rPr>
        <w:t>(</w:t>
      </w:r>
      <w:r w:rsidR="005C5E30" w:rsidRPr="00410591">
        <w:rPr>
          <w:color w:val="000000" w:themeColor="text1"/>
          <w:sz w:val="16"/>
          <w:szCs w:val="28"/>
          <w:lang w:val="en-GB"/>
        </w:rPr>
        <w:t>above 120 days</w:t>
      </w:r>
      <w:r w:rsidR="00065683" w:rsidRPr="00410591">
        <w:rPr>
          <w:color w:val="000000" w:themeColor="text1"/>
          <w:sz w:val="16"/>
          <w:szCs w:val="28"/>
          <w:lang w:val="en-GB"/>
        </w:rPr>
        <w:t>)</w:t>
      </w:r>
      <w:r w:rsidR="00F01F96" w:rsidRPr="00410591">
        <w:rPr>
          <w:color w:val="000000" w:themeColor="text1"/>
          <w:sz w:val="16"/>
          <w:szCs w:val="28"/>
          <w:lang w:val="en-GB"/>
        </w:rPr>
        <w:t xml:space="preserve"> </w:t>
      </w:r>
      <w:r w:rsidR="00C91748" w:rsidRPr="00410591">
        <w:rPr>
          <w:color w:val="000000" w:themeColor="text1"/>
          <w:sz w:val="16"/>
          <w:szCs w:val="28"/>
          <w:lang w:val="en-GB"/>
        </w:rPr>
        <w:t>remain</w:t>
      </w:r>
      <w:r w:rsidR="00F01F96" w:rsidRPr="00410591">
        <w:rPr>
          <w:color w:val="000000" w:themeColor="text1"/>
          <w:sz w:val="16"/>
          <w:szCs w:val="28"/>
          <w:lang w:val="en-GB"/>
        </w:rPr>
        <w:t xml:space="preserve"> </w:t>
      </w:r>
      <w:r w:rsidR="00C91748" w:rsidRPr="00410591">
        <w:rPr>
          <w:color w:val="000000" w:themeColor="text1"/>
          <w:sz w:val="16"/>
          <w:szCs w:val="28"/>
          <w:lang w:val="en-GB"/>
        </w:rPr>
        <w:t>relatively</w:t>
      </w:r>
      <w:r w:rsidR="005C5E30" w:rsidRPr="00410591">
        <w:rPr>
          <w:color w:val="000000" w:themeColor="text1"/>
          <w:sz w:val="16"/>
          <w:szCs w:val="28"/>
          <w:lang w:val="en-GB"/>
        </w:rPr>
        <w:t xml:space="preserve"> rare. Only 0.</w:t>
      </w:r>
      <w:r w:rsidR="00C91748" w:rsidRPr="00410591">
        <w:rPr>
          <w:color w:val="000000" w:themeColor="text1"/>
          <w:sz w:val="16"/>
          <w:szCs w:val="28"/>
          <w:lang w:val="en-GB"/>
        </w:rPr>
        <w:t>6</w:t>
      </w:r>
      <w:r w:rsidR="005C5E30" w:rsidRPr="00410591">
        <w:rPr>
          <w:color w:val="000000" w:themeColor="text1"/>
          <w:sz w:val="16"/>
          <w:szCs w:val="28"/>
          <w:lang w:val="en-GB"/>
        </w:rPr>
        <w:t>% of participants offered them in 202</w:t>
      </w:r>
      <w:r w:rsidR="00C91748" w:rsidRPr="00410591">
        <w:rPr>
          <w:color w:val="000000" w:themeColor="text1"/>
          <w:sz w:val="16"/>
          <w:szCs w:val="28"/>
          <w:lang w:val="en-GB"/>
        </w:rPr>
        <w:t>2</w:t>
      </w:r>
      <w:r w:rsidR="005C5E30" w:rsidRPr="00410591">
        <w:rPr>
          <w:color w:val="000000" w:themeColor="text1"/>
          <w:sz w:val="16"/>
          <w:szCs w:val="28"/>
          <w:lang w:val="en-GB"/>
        </w:rPr>
        <w:t xml:space="preserve">, </w:t>
      </w:r>
      <w:r w:rsidR="00C91748" w:rsidRPr="00410591">
        <w:rPr>
          <w:color w:val="000000" w:themeColor="text1"/>
          <w:sz w:val="16"/>
          <w:szCs w:val="28"/>
          <w:lang w:val="en-GB"/>
        </w:rPr>
        <w:t>who could be found in the transportation, the metal and the finance sector.</w:t>
      </w:r>
    </w:p>
    <w:p w14:paraId="3ADA5518" w14:textId="43E9DA3D" w:rsidR="00D636E3" w:rsidRPr="00410591" w:rsidRDefault="005C5E30" w:rsidP="009C37D7">
      <w:pPr>
        <w:pStyle w:val="Listenabsatz"/>
        <w:numPr>
          <w:ilvl w:val="0"/>
          <w:numId w:val="1"/>
        </w:numPr>
        <w:spacing w:line="240" w:lineRule="auto"/>
        <w:jc w:val="both"/>
        <w:rPr>
          <w:color w:val="000000" w:themeColor="text1"/>
          <w:sz w:val="16"/>
          <w:szCs w:val="28"/>
          <w:lang w:val="en-GB"/>
        </w:rPr>
      </w:pPr>
      <w:r w:rsidRPr="00410591">
        <w:rPr>
          <w:color w:val="000000" w:themeColor="text1"/>
          <w:sz w:val="16"/>
          <w:szCs w:val="28"/>
          <w:lang w:val="en-GB"/>
        </w:rPr>
        <w:t xml:space="preserve">While </w:t>
      </w:r>
      <w:r w:rsidR="00065683" w:rsidRPr="00410591">
        <w:rPr>
          <w:color w:val="000000" w:themeColor="text1"/>
          <w:sz w:val="16"/>
          <w:szCs w:val="28"/>
          <w:lang w:val="en-GB"/>
        </w:rPr>
        <w:t xml:space="preserve">the </w:t>
      </w:r>
      <w:r w:rsidRPr="00410591">
        <w:rPr>
          <w:color w:val="000000" w:themeColor="text1"/>
          <w:sz w:val="16"/>
          <w:szCs w:val="28"/>
          <w:lang w:val="en-GB"/>
        </w:rPr>
        <w:t>average payment term</w:t>
      </w:r>
      <w:r w:rsidR="004F179B" w:rsidRPr="00410591">
        <w:rPr>
          <w:color w:val="000000" w:themeColor="text1"/>
          <w:sz w:val="16"/>
          <w:szCs w:val="28"/>
          <w:lang w:val="en-GB"/>
        </w:rPr>
        <w:t>s</w:t>
      </w:r>
      <w:r w:rsidRPr="00410591">
        <w:rPr>
          <w:color w:val="000000" w:themeColor="text1"/>
          <w:sz w:val="16"/>
          <w:szCs w:val="28"/>
          <w:lang w:val="en-GB"/>
        </w:rPr>
        <w:t xml:space="preserve"> of all participating companies has</w:t>
      </w:r>
      <w:r w:rsidR="004F179B" w:rsidRPr="00410591">
        <w:rPr>
          <w:color w:val="000000" w:themeColor="text1"/>
          <w:sz w:val="16"/>
          <w:szCs w:val="28"/>
          <w:lang w:val="en-GB"/>
        </w:rPr>
        <w:t xml:space="preserve"> changed</w:t>
      </w:r>
      <w:r w:rsidR="007D1D3A" w:rsidRPr="00410591">
        <w:rPr>
          <w:color w:val="000000" w:themeColor="text1"/>
          <w:sz w:val="16"/>
          <w:szCs w:val="28"/>
          <w:lang w:val="en-GB"/>
        </w:rPr>
        <w:t xml:space="preserve"> only marginally</w:t>
      </w:r>
      <w:r w:rsidRPr="00410591">
        <w:rPr>
          <w:color w:val="000000" w:themeColor="text1"/>
          <w:sz w:val="16"/>
          <w:szCs w:val="28"/>
          <w:lang w:val="en-GB"/>
        </w:rPr>
        <w:t xml:space="preserve">, changes in </w:t>
      </w:r>
      <w:r w:rsidR="004F179B" w:rsidRPr="00410591">
        <w:rPr>
          <w:color w:val="000000" w:themeColor="text1"/>
          <w:sz w:val="16"/>
          <w:szCs w:val="28"/>
          <w:lang w:val="en-GB"/>
        </w:rPr>
        <w:t xml:space="preserve">individual </w:t>
      </w:r>
      <w:r w:rsidR="007D1D3A" w:rsidRPr="00410591">
        <w:rPr>
          <w:color w:val="000000" w:themeColor="text1"/>
          <w:sz w:val="16"/>
          <w:szCs w:val="28"/>
          <w:lang w:val="en-GB"/>
        </w:rPr>
        <w:t>sectors were noticeable in 2022</w:t>
      </w:r>
      <w:r w:rsidR="009C37D7" w:rsidRPr="00410591">
        <w:rPr>
          <w:color w:val="000000" w:themeColor="text1"/>
          <w:sz w:val="16"/>
          <w:szCs w:val="28"/>
          <w:lang w:val="en-GB"/>
        </w:rPr>
        <w:t xml:space="preserve"> </w:t>
      </w:r>
      <w:r w:rsidR="009C37D7" w:rsidRPr="00410591">
        <w:rPr>
          <w:b/>
          <w:color w:val="000000" w:themeColor="text1"/>
          <w:sz w:val="16"/>
          <w:szCs w:val="28"/>
          <w:lang w:val="en-GB"/>
        </w:rPr>
        <w:t>(Chart 3)</w:t>
      </w:r>
      <w:r w:rsidRPr="00410591">
        <w:rPr>
          <w:color w:val="000000" w:themeColor="text1"/>
          <w:sz w:val="16"/>
          <w:szCs w:val="28"/>
          <w:lang w:val="en-GB"/>
        </w:rPr>
        <w:t xml:space="preserve">. </w:t>
      </w:r>
      <w:r w:rsidR="00D636E3" w:rsidRPr="00410591">
        <w:rPr>
          <w:color w:val="000000" w:themeColor="text1"/>
          <w:sz w:val="16"/>
          <w:szCs w:val="28"/>
          <w:lang w:val="en-GB"/>
        </w:rPr>
        <w:t>A s</w:t>
      </w:r>
      <w:r w:rsidRPr="00410591">
        <w:rPr>
          <w:color w:val="000000" w:themeColor="text1"/>
          <w:sz w:val="16"/>
          <w:szCs w:val="28"/>
          <w:lang w:val="en-GB"/>
        </w:rPr>
        <w:t>trong increase</w:t>
      </w:r>
      <w:r w:rsidR="004F179B" w:rsidRPr="00410591">
        <w:rPr>
          <w:color w:val="000000" w:themeColor="text1"/>
          <w:sz w:val="16"/>
          <w:szCs w:val="28"/>
          <w:lang w:val="en-GB"/>
        </w:rPr>
        <w:t xml:space="preserve"> -</w:t>
      </w:r>
      <w:r w:rsidRPr="00410591">
        <w:rPr>
          <w:color w:val="000000" w:themeColor="text1"/>
          <w:sz w:val="16"/>
          <w:szCs w:val="28"/>
          <w:lang w:val="en-GB"/>
        </w:rPr>
        <w:t xml:space="preserve"> of </w:t>
      </w:r>
      <w:r w:rsidR="00D636E3" w:rsidRPr="00410591">
        <w:rPr>
          <w:color w:val="000000" w:themeColor="text1"/>
          <w:sz w:val="16"/>
          <w:szCs w:val="28"/>
          <w:lang w:val="en-GB"/>
        </w:rPr>
        <w:t>more than</w:t>
      </w:r>
      <w:r w:rsidRPr="00410591">
        <w:rPr>
          <w:color w:val="000000" w:themeColor="text1"/>
          <w:sz w:val="16"/>
          <w:szCs w:val="28"/>
          <w:lang w:val="en-GB"/>
        </w:rPr>
        <w:t xml:space="preserve"> </w:t>
      </w:r>
      <w:r w:rsidR="00D636E3" w:rsidRPr="00410591">
        <w:rPr>
          <w:color w:val="000000" w:themeColor="text1"/>
          <w:sz w:val="16"/>
          <w:szCs w:val="28"/>
          <w:lang w:val="en-GB"/>
        </w:rPr>
        <w:t>a week</w:t>
      </w:r>
      <w:r w:rsidRPr="00410591">
        <w:rPr>
          <w:color w:val="000000" w:themeColor="text1"/>
          <w:sz w:val="16"/>
          <w:szCs w:val="28"/>
          <w:lang w:val="en-GB"/>
        </w:rPr>
        <w:t xml:space="preserve"> </w:t>
      </w:r>
      <w:r w:rsidR="004F179B" w:rsidRPr="00410591">
        <w:rPr>
          <w:color w:val="000000" w:themeColor="text1"/>
          <w:sz w:val="16"/>
          <w:szCs w:val="28"/>
          <w:lang w:val="en-GB"/>
        </w:rPr>
        <w:t xml:space="preserve">– </w:t>
      </w:r>
      <w:r w:rsidR="00D636E3" w:rsidRPr="00410591">
        <w:rPr>
          <w:color w:val="000000" w:themeColor="text1"/>
          <w:sz w:val="16"/>
          <w:szCs w:val="28"/>
          <w:lang w:val="en-GB"/>
        </w:rPr>
        <w:t xml:space="preserve">was observed in the </w:t>
      </w:r>
      <w:proofErr w:type="spellStart"/>
      <w:r w:rsidR="00D636E3" w:rsidRPr="00410591">
        <w:rPr>
          <w:color w:val="000000" w:themeColor="text1"/>
          <w:sz w:val="16"/>
          <w:szCs w:val="28"/>
          <w:lang w:val="en-GB"/>
        </w:rPr>
        <w:t>agri</w:t>
      </w:r>
      <w:proofErr w:type="spellEnd"/>
      <w:r w:rsidR="00D636E3" w:rsidRPr="00410591">
        <w:rPr>
          <w:color w:val="000000" w:themeColor="text1"/>
          <w:sz w:val="16"/>
          <w:szCs w:val="28"/>
          <w:lang w:val="en-GB"/>
        </w:rPr>
        <w:t>-food sector</w:t>
      </w:r>
      <w:r w:rsidR="009C37D7" w:rsidRPr="00410591">
        <w:rPr>
          <w:color w:val="000000" w:themeColor="text1"/>
          <w:sz w:val="16"/>
          <w:szCs w:val="28"/>
          <w:lang w:val="en-GB"/>
        </w:rPr>
        <w:t xml:space="preserve">. </w:t>
      </w:r>
      <w:r w:rsidR="00082ACB" w:rsidRPr="00410591">
        <w:rPr>
          <w:color w:val="000000" w:themeColor="text1"/>
          <w:sz w:val="16"/>
          <w:szCs w:val="28"/>
          <w:lang w:val="en-GB"/>
        </w:rPr>
        <w:t>Conversely</w:t>
      </w:r>
      <w:r w:rsidR="00162514" w:rsidRPr="00410591">
        <w:rPr>
          <w:color w:val="000000" w:themeColor="text1"/>
          <w:sz w:val="16"/>
          <w:szCs w:val="28"/>
          <w:lang w:val="en-GB"/>
        </w:rPr>
        <w:t>,</w:t>
      </w:r>
      <w:r w:rsidR="009C37D7" w:rsidRPr="00410591">
        <w:rPr>
          <w:color w:val="000000" w:themeColor="text1"/>
          <w:sz w:val="16"/>
          <w:szCs w:val="28"/>
          <w:lang w:val="en-GB"/>
        </w:rPr>
        <w:t xml:space="preserve"> </w:t>
      </w:r>
      <w:r w:rsidR="00D636E3" w:rsidRPr="00410591">
        <w:rPr>
          <w:color w:val="000000" w:themeColor="text1"/>
          <w:sz w:val="16"/>
          <w:szCs w:val="28"/>
          <w:lang w:val="en-GB"/>
        </w:rPr>
        <w:t>paper-packing</w:t>
      </w:r>
      <w:r w:rsidR="005C1078" w:rsidRPr="00410591">
        <w:rPr>
          <w:color w:val="000000" w:themeColor="text1"/>
          <w:sz w:val="16"/>
          <w:szCs w:val="28"/>
          <w:lang w:val="en-GB"/>
        </w:rPr>
        <w:t xml:space="preserve"> (-</w:t>
      </w:r>
      <w:r w:rsidR="00D636E3" w:rsidRPr="00410591">
        <w:rPr>
          <w:color w:val="000000" w:themeColor="text1"/>
          <w:sz w:val="16"/>
          <w:szCs w:val="28"/>
          <w:lang w:val="en-GB"/>
        </w:rPr>
        <w:t>6.3</w:t>
      </w:r>
      <w:r w:rsidR="005C1078" w:rsidRPr="00410591">
        <w:rPr>
          <w:color w:val="000000" w:themeColor="text1"/>
          <w:sz w:val="16"/>
          <w:szCs w:val="28"/>
          <w:lang w:val="en-GB"/>
        </w:rPr>
        <w:t xml:space="preserve"> days)</w:t>
      </w:r>
      <w:r w:rsidR="00D636E3" w:rsidRPr="00410591">
        <w:rPr>
          <w:color w:val="000000" w:themeColor="text1"/>
          <w:sz w:val="16"/>
          <w:szCs w:val="28"/>
          <w:lang w:val="en-GB"/>
        </w:rPr>
        <w:t xml:space="preserve"> and retail-wholesale trade</w:t>
      </w:r>
      <w:r w:rsidR="005C1078" w:rsidRPr="00410591">
        <w:rPr>
          <w:color w:val="000000" w:themeColor="text1"/>
          <w:sz w:val="16"/>
          <w:szCs w:val="28"/>
          <w:lang w:val="en-GB"/>
        </w:rPr>
        <w:t xml:space="preserve"> (-</w:t>
      </w:r>
      <w:r w:rsidR="00D636E3" w:rsidRPr="00410591">
        <w:rPr>
          <w:color w:val="000000" w:themeColor="text1"/>
          <w:sz w:val="16"/>
          <w:szCs w:val="28"/>
          <w:lang w:val="en-GB"/>
        </w:rPr>
        <w:t>5.9</w:t>
      </w:r>
      <w:r w:rsidR="005C1078" w:rsidRPr="00410591">
        <w:rPr>
          <w:color w:val="000000" w:themeColor="text1"/>
          <w:sz w:val="16"/>
          <w:szCs w:val="28"/>
          <w:lang w:val="en-GB"/>
        </w:rPr>
        <w:t xml:space="preserve"> days)</w:t>
      </w:r>
      <w:r w:rsidR="009C37D7" w:rsidRPr="00410591">
        <w:rPr>
          <w:color w:val="000000" w:themeColor="text1"/>
          <w:sz w:val="16"/>
          <w:szCs w:val="28"/>
          <w:lang w:val="en-GB"/>
        </w:rPr>
        <w:t xml:space="preserve"> reported </w:t>
      </w:r>
      <w:r w:rsidR="004F179B" w:rsidRPr="00410591">
        <w:rPr>
          <w:color w:val="000000" w:themeColor="text1"/>
          <w:sz w:val="16"/>
          <w:szCs w:val="28"/>
          <w:lang w:val="en-GB"/>
        </w:rPr>
        <w:t xml:space="preserve">the </w:t>
      </w:r>
      <w:r w:rsidR="00162514" w:rsidRPr="00410591">
        <w:rPr>
          <w:color w:val="000000" w:themeColor="text1"/>
          <w:sz w:val="16"/>
          <w:szCs w:val="28"/>
          <w:lang w:val="en-GB"/>
        </w:rPr>
        <w:t>stronge</w:t>
      </w:r>
      <w:r w:rsidR="004F179B" w:rsidRPr="00410591">
        <w:rPr>
          <w:color w:val="000000" w:themeColor="text1"/>
          <w:sz w:val="16"/>
          <w:szCs w:val="28"/>
          <w:lang w:val="en-GB"/>
        </w:rPr>
        <w:t>st</w:t>
      </w:r>
      <w:r w:rsidR="00162514" w:rsidRPr="00410591">
        <w:rPr>
          <w:color w:val="000000" w:themeColor="text1"/>
          <w:sz w:val="16"/>
          <w:szCs w:val="28"/>
          <w:lang w:val="en-GB"/>
        </w:rPr>
        <w:t xml:space="preserve"> </w:t>
      </w:r>
      <w:r w:rsidR="004F179B" w:rsidRPr="00410591">
        <w:rPr>
          <w:color w:val="000000" w:themeColor="text1"/>
          <w:sz w:val="16"/>
          <w:szCs w:val="28"/>
          <w:lang w:val="en-GB"/>
        </w:rPr>
        <w:t>decline</w:t>
      </w:r>
      <w:r w:rsidR="00082ACB" w:rsidRPr="00410591">
        <w:rPr>
          <w:color w:val="000000" w:themeColor="text1"/>
          <w:sz w:val="16"/>
          <w:szCs w:val="28"/>
          <w:lang w:val="en-GB"/>
        </w:rPr>
        <w:t>s</w:t>
      </w:r>
      <w:r w:rsidR="004F179B" w:rsidRPr="00410591">
        <w:rPr>
          <w:color w:val="000000" w:themeColor="text1"/>
          <w:sz w:val="16"/>
          <w:szCs w:val="28"/>
          <w:lang w:val="en-GB"/>
        </w:rPr>
        <w:t xml:space="preserve"> </w:t>
      </w:r>
      <w:r w:rsidR="00162514" w:rsidRPr="00410591">
        <w:rPr>
          <w:color w:val="000000" w:themeColor="text1"/>
          <w:sz w:val="16"/>
          <w:szCs w:val="28"/>
          <w:lang w:val="en-GB"/>
        </w:rPr>
        <w:t xml:space="preserve">in </w:t>
      </w:r>
      <w:r w:rsidR="0027453F">
        <w:rPr>
          <w:color w:val="000000" w:themeColor="text1"/>
          <w:sz w:val="16"/>
          <w:szCs w:val="28"/>
          <w:lang w:val="en-GB"/>
        </w:rPr>
        <w:t xml:space="preserve">their average </w:t>
      </w:r>
      <w:r w:rsidR="009C37D7" w:rsidRPr="00410591">
        <w:rPr>
          <w:color w:val="000000" w:themeColor="text1"/>
          <w:sz w:val="16"/>
          <w:szCs w:val="28"/>
          <w:lang w:val="en-GB"/>
        </w:rPr>
        <w:t>payment terms</w:t>
      </w:r>
      <w:r w:rsidR="00DD6753" w:rsidRPr="00410591">
        <w:rPr>
          <w:color w:val="000000" w:themeColor="text1"/>
          <w:sz w:val="16"/>
          <w:szCs w:val="28"/>
          <w:lang w:val="en-GB"/>
        </w:rPr>
        <w:t>.</w:t>
      </w:r>
      <w:r w:rsidR="004F179B" w:rsidRPr="00410591">
        <w:rPr>
          <w:color w:val="000000" w:themeColor="text1"/>
          <w:sz w:val="16"/>
          <w:szCs w:val="28"/>
          <w:lang w:val="en-GB"/>
        </w:rPr>
        <w:t xml:space="preserve"> As indicated above, construction remained the sector wit</w:t>
      </w:r>
      <w:r w:rsidR="00D636E3" w:rsidRPr="00410591">
        <w:rPr>
          <w:color w:val="000000" w:themeColor="text1"/>
          <w:sz w:val="16"/>
          <w:szCs w:val="28"/>
          <w:lang w:val="en-GB"/>
        </w:rPr>
        <w:t>h the shortest payment terms (23</w:t>
      </w:r>
      <w:r w:rsidR="004F179B" w:rsidRPr="00410591">
        <w:rPr>
          <w:color w:val="000000" w:themeColor="text1"/>
          <w:sz w:val="16"/>
          <w:szCs w:val="28"/>
          <w:lang w:val="en-GB"/>
        </w:rPr>
        <w:t>.</w:t>
      </w:r>
      <w:r w:rsidR="00D636E3" w:rsidRPr="00410591">
        <w:rPr>
          <w:color w:val="000000" w:themeColor="text1"/>
          <w:sz w:val="16"/>
          <w:szCs w:val="28"/>
          <w:lang w:val="en-GB"/>
        </w:rPr>
        <w:t>7</w:t>
      </w:r>
      <w:r w:rsidR="004F179B" w:rsidRPr="00410591">
        <w:rPr>
          <w:color w:val="000000" w:themeColor="text1"/>
          <w:sz w:val="16"/>
          <w:szCs w:val="28"/>
          <w:lang w:val="en-GB"/>
        </w:rPr>
        <w:t xml:space="preserve"> days</w:t>
      </w:r>
      <w:r w:rsidR="0027453F">
        <w:rPr>
          <w:color w:val="000000" w:themeColor="text1"/>
          <w:sz w:val="16"/>
          <w:szCs w:val="28"/>
          <w:lang w:val="en-GB"/>
        </w:rPr>
        <w:t xml:space="preserve"> on average</w:t>
      </w:r>
      <w:r w:rsidR="004F179B" w:rsidRPr="00410591">
        <w:rPr>
          <w:color w:val="000000" w:themeColor="text1"/>
          <w:sz w:val="16"/>
          <w:szCs w:val="28"/>
          <w:lang w:val="en-GB"/>
        </w:rPr>
        <w:t xml:space="preserve">), while </w:t>
      </w:r>
      <w:r w:rsidR="00D636E3" w:rsidRPr="00410591">
        <w:rPr>
          <w:color w:val="000000" w:themeColor="text1"/>
          <w:sz w:val="16"/>
          <w:szCs w:val="28"/>
          <w:lang w:val="en-GB"/>
        </w:rPr>
        <w:t xml:space="preserve">finance (decelerated as an own sector in this survey for the first time) has the most generous payment terms with </w:t>
      </w:r>
      <w:r w:rsidR="0027453F">
        <w:rPr>
          <w:color w:val="000000" w:themeColor="text1"/>
          <w:sz w:val="16"/>
          <w:szCs w:val="28"/>
          <w:lang w:val="en-GB"/>
        </w:rPr>
        <w:t>67</w:t>
      </w:r>
      <w:r w:rsidR="00D636E3" w:rsidRPr="00410591">
        <w:rPr>
          <w:color w:val="000000" w:themeColor="text1"/>
          <w:sz w:val="16"/>
          <w:szCs w:val="28"/>
          <w:lang w:val="en-GB"/>
        </w:rPr>
        <w:t xml:space="preserve"> days followed by textile-clothing with 43 days</w:t>
      </w:r>
      <w:r w:rsidR="00410591" w:rsidRPr="00410591">
        <w:rPr>
          <w:color w:val="000000" w:themeColor="text1"/>
          <w:sz w:val="16"/>
          <w:szCs w:val="28"/>
          <w:lang w:val="en-GB"/>
        </w:rPr>
        <w:t>.</w:t>
      </w:r>
    </w:p>
    <w:p w14:paraId="210EBBF2" w14:textId="6C541034" w:rsidR="00410591" w:rsidRPr="00731520" w:rsidRDefault="00C86C25" w:rsidP="006A3210">
      <w:pPr>
        <w:pStyle w:val="Listenabsatz"/>
        <w:numPr>
          <w:ilvl w:val="0"/>
          <w:numId w:val="1"/>
        </w:numPr>
        <w:spacing w:line="240" w:lineRule="auto"/>
        <w:jc w:val="both"/>
        <w:rPr>
          <w:color w:val="000000" w:themeColor="text1"/>
          <w:sz w:val="16"/>
          <w:szCs w:val="28"/>
          <w:lang w:val="en-GB"/>
        </w:rPr>
      </w:pPr>
      <w:r w:rsidRPr="00731520">
        <w:rPr>
          <w:color w:val="000000" w:themeColor="text1"/>
          <w:sz w:val="16"/>
          <w:szCs w:val="28"/>
          <w:lang w:val="en-GB"/>
        </w:rPr>
        <w:t xml:space="preserve">When looking for explanations for the development in the payment terms, </w:t>
      </w:r>
      <w:r w:rsidR="00DD3E39" w:rsidRPr="00731520">
        <w:rPr>
          <w:color w:val="000000" w:themeColor="text1"/>
          <w:sz w:val="16"/>
          <w:szCs w:val="28"/>
          <w:lang w:val="en-GB"/>
        </w:rPr>
        <w:t>our survey</w:t>
      </w:r>
      <w:r w:rsidR="00505C65" w:rsidRPr="00731520">
        <w:rPr>
          <w:color w:val="000000" w:themeColor="text1"/>
          <w:sz w:val="16"/>
          <w:szCs w:val="28"/>
          <w:lang w:val="en-GB"/>
        </w:rPr>
        <w:t xml:space="preserve"> hint </w:t>
      </w:r>
      <w:r w:rsidR="00410591" w:rsidRPr="00731520">
        <w:rPr>
          <w:color w:val="000000" w:themeColor="text1"/>
          <w:sz w:val="16"/>
          <w:szCs w:val="28"/>
          <w:lang w:val="en-GB"/>
        </w:rPr>
        <w:t xml:space="preserve">into two directions. On the one side companies seem more vigilant and therefore are reducing the number of payment terms. On the other side technical reasons force them to give out (longer) payment terms. </w:t>
      </w:r>
      <w:r w:rsidR="00505C65" w:rsidRPr="00731520">
        <w:rPr>
          <w:color w:val="000000" w:themeColor="text1"/>
          <w:sz w:val="16"/>
          <w:szCs w:val="28"/>
          <w:lang w:val="en-GB"/>
        </w:rPr>
        <w:t xml:space="preserve">When asking about the reasons behind the availability of payment terms, our participants </w:t>
      </w:r>
      <w:r w:rsidR="004F179B" w:rsidRPr="00731520">
        <w:rPr>
          <w:color w:val="000000" w:themeColor="text1"/>
          <w:sz w:val="16"/>
          <w:szCs w:val="28"/>
          <w:lang w:val="en-GB"/>
        </w:rPr>
        <w:t xml:space="preserve">primarily </w:t>
      </w:r>
      <w:r w:rsidR="00505C65" w:rsidRPr="00731520">
        <w:rPr>
          <w:color w:val="000000" w:themeColor="text1"/>
          <w:sz w:val="16"/>
          <w:szCs w:val="28"/>
          <w:lang w:val="en-GB"/>
        </w:rPr>
        <w:t>named market standard</w:t>
      </w:r>
      <w:r w:rsidR="00082ACB" w:rsidRPr="00731520">
        <w:rPr>
          <w:color w:val="000000" w:themeColor="text1"/>
          <w:sz w:val="16"/>
          <w:szCs w:val="28"/>
          <w:lang w:val="en-GB"/>
        </w:rPr>
        <w:t>s</w:t>
      </w:r>
      <w:r w:rsidR="00731520">
        <w:rPr>
          <w:color w:val="000000" w:themeColor="text1"/>
          <w:sz w:val="16"/>
          <w:szCs w:val="28"/>
          <w:lang w:val="en-GB"/>
        </w:rPr>
        <w:t xml:space="preserve"> </w:t>
      </w:r>
      <w:r w:rsidR="00410591" w:rsidRPr="00731520">
        <w:rPr>
          <w:color w:val="000000" w:themeColor="text1"/>
          <w:sz w:val="16"/>
          <w:szCs w:val="28"/>
          <w:lang w:val="en-GB"/>
        </w:rPr>
        <w:t xml:space="preserve">with a record share of 62%. </w:t>
      </w:r>
      <w:r w:rsidR="00731520" w:rsidRPr="00731520">
        <w:rPr>
          <w:color w:val="000000" w:themeColor="text1"/>
          <w:sz w:val="16"/>
          <w:szCs w:val="28"/>
          <w:lang w:val="en-GB"/>
        </w:rPr>
        <w:t xml:space="preserve">This could be connected with </w:t>
      </w:r>
      <w:r w:rsidR="002029EB">
        <w:rPr>
          <w:color w:val="000000" w:themeColor="text1"/>
          <w:sz w:val="16"/>
          <w:szCs w:val="28"/>
          <w:lang w:val="en-GB"/>
        </w:rPr>
        <w:t xml:space="preserve">the ongoing </w:t>
      </w:r>
      <w:r w:rsidR="00731520">
        <w:rPr>
          <w:color w:val="000000" w:themeColor="text1"/>
          <w:sz w:val="16"/>
          <w:szCs w:val="28"/>
          <w:lang w:val="en-GB"/>
        </w:rPr>
        <w:t>supply-chain-issues</w:t>
      </w:r>
      <w:r w:rsidR="00731520" w:rsidRPr="00731520">
        <w:rPr>
          <w:color w:val="000000" w:themeColor="text1"/>
          <w:sz w:val="16"/>
          <w:szCs w:val="28"/>
          <w:lang w:val="en-GB"/>
        </w:rPr>
        <w:t xml:space="preserve">. Indeed, </w:t>
      </w:r>
      <w:r w:rsidR="00410591" w:rsidRPr="00731520">
        <w:rPr>
          <w:color w:val="000000" w:themeColor="text1"/>
          <w:sz w:val="16"/>
          <w:szCs w:val="28"/>
          <w:lang w:val="en-GB"/>
        </w:rPr>
        <w:t xml:space="preserve">although it was not an own answer-possibility 1% explicitly named long delivery times as a reason for (longer) payment terms as the invoice reaches the customer </w:t>
      </w:r>
      <w:r w:rsidRPr="00731520">
        <w:rPr>
          <w:color w:val="000000" w:themeColor="text1"/>
          <w:sz w:val="16"/>
          <w:szCs w:val="28"/>
          <w:lang w:val="en-GB"/>
        </w:rPr>
        <w:t>faster than the goods</w:t>
      </w:r>
      <w:r w:rsidR="00410591" w:rsidRPr="00731520">
        <w:rPr>
          <w:color w:val="000000" w:themeColor="text1"/>
          <w:sz w:val="16"/>
          <w:szCs w:val="28"/>
          <w:lang w:val="en-GB"/>
        </w:rPr>
        <w:t xml:space="preserve">. </w:t>
      </w:r>
      <w:r w:rsidRPr="00731520">
        <w:rPr>
          <w:color w:val="000000" w:themeColor="text1"/>
          <w:sz w:val="16"/>
          <w:szCs w:val="28"/>
          <w:lang w:val="en-GB"/>
        </w:rPr>
        <w:t>Beside of that the environment seems to be</w:t>
      </w:r>
      <w:r w:rsidR="00410591" w:rsidRPr="00731520">
        <w:rPr>
          <w:color w:val="000000" w:themeColor="text1"/>
          <w:sz w:val="16"/>
          <w:szCs w:val="28"/>
          <w:lang w:val="en-GB"/>
        </w:rPr>
        <w:t xml:space="preserve"> riskier and the confidence in the customers is decreasing to a </w:t>
      </w:r>
      <w:r w:rsidRPr="00731520">
        <w:rPr>
          <w:color w:val="000000" w:themeColor="text1"/>
          <w:sz w:val="16"/>
          <w:szCs w:val="28"/>
          <w:lang w:val="en-GB"/>
        </w:rPr>
        <w:t xml:space="preserve">low level (only seen before in 2019) </w:t>
      </w:r>
      <w:r w:rsidR="00410591" w:rsidRPr="00731520">
        <w:rPr>
          <w:b/>
          <w:color w:val="000000" w:themeColor="text1"/>
          <w:sz w:val="16"/>
          <w:szCs w:val="28"/>
          <w:lang w:val="en-GB"/>
        </w:rPr>
        <w:t>(Chart 4)</w:t>
      </w:r>
      <w:r w:rsidR="00410591" w:rsidRPr="00731520">
        <w:rPr>
          <w:color w:val="000000" w:themeColor="text1"/>
          <w:sz w:val="16"/>
          <w:szCs w:val="28"/>
          <w:lang w:val="en-GB"/>
        </w:rPr>
        <w:t>.</w:t>
      </w:r>
    </w:p>
    <w:p w14:paraId="1AED1378" w14:textId="77777777" w:rsidR="00410591" w:rsidRDefault="00410591" w:rsidP="00410591">
      <w:pPr>
        <w:pStyle w:val="Listenabsatz"/>
        <w:spacing w:line="240" w:lineRule="auto"/>
        <w:jc w:val="both"/>
        <w:rPr>
          <w:color w:val="000000" w:themeColor="text1"/>
          <w:sz w:val="16"/>
          <w:szCs w:val="28"/>
          <w:highlight w:val="yellow"/>
          <w:lang w:val="en-GB"/>
        </w:rPr>
      </w:pPr>
    </w:p>
    <w:p w14:paraId="64A6071E" w14:textId="1293A6FD" w:rsidR="00900CA4" w:rsidRPr="00513A83" w:rsidRDefault="00404278" w:rsidP="00900CA4">
      <w:pPr>
        <w:spacing w:line="240" w:lineRule="auto"/>
        <w:rPr>
          <w:color w:val="283860"/>
          <w:sz w:val="28"/>
          <w:szCs w:val="28"/>
          <w:lang w:val="en-GB"/>
        </w:rPr>
      </w:pPr>
      <w:r w:rsidRPr="00513A83">
        <w:rPr>
          <w:b/>
          <w:color w:val="283860"/>
          <w:sz w:val="28"/>
          <w:szCs w:val="28"/>
          <w:lang w:val="en-GB"/>
        </w:rPr>
        <w:t>PAYMENT DELAYS</w:t>
      </w:r>
      <w:r w:rsidR="00900CA4" w:rsidRPr="00513A83">
        <w:rPr>
          <w:rStyle w:val="Funotenzeichen"/>
          <w:b/>
          <w:color w:val="283860"/>
          <w:sz w:val="28"/>
          <w:szCs w:val="28"/>
          <w:lang w:val="en-GB"/>
        </w:rPr>
        <w:footnoteReference w:id="9"/>
      </w:r>
      <w:r w:rsidR="00900CA4" w:rsidRPr="00513A83">
        <w:rPr>
          <w:b/>
          <w:color w:val="283860"/>
          <w:sz w:val="28"/>
          <w:szCs w:val="28"/>
          <w:lang w:val="en-GB"/>
        </w:rPr>
        <w:t xml:space="preserve">: </w:t>
      </w:r>
      <w:r w:rsidR="00A37FFC" w:rsidRPr="00513A83">
        <w:rPr>
          <w:color w:val="283860"/>
          <w:sz w:val="28"/>
          <w:szCs w:val="28"/>
          <w:lang w:val="en-GB"/>
        </w:rPr>
        <w:t>Companies</w:t>
      </w:r>
      <w:r w:rsidR="00513A83" w:rsidRPr="00513A83">
        <w:rPr>
          <w:color w:val="283860"/>
          <w:sz w:val="28"/>
          <w:szCs w:val="28"/>
          <w:lang w:val="en-GB"/>
        </w:rPr>
        <w:t xml:space="preserve"> still</w:t>
      </w:r>
      <w:r w:rsidR="00A37FFC" w:rsidRPr="00513A83">
        <w:rPr>
          <w:color w:val="283860"/>
          <w:sz w:val="28"/>
          <w:szCs w:val="28"/>
          <w:lang w:val="en-GB"/>
        </w:rPr>
        <w:t xml:space="preserve"> get </w:t>
      </w:r>
      <w:r w:rsidR="00D764E9" w:rsidRPr="00513A83">
        <w:rPr>
          <w:color w:val="283860"/>
          <w:sz w:val="28"/>
          <w:szCs w:val="28"/>
          <w:lang w:val="en-GB"/>
        </w:rPr>
        <w:t>paid</w:t>
      </w:r>
      <w:r w:rsidR="00A37FFC" w:rsidRPr="00513A83">
        <w:rPr>
          <w:color w:val="283860"/>
          <w:sz w:val="28"/>
          <w:szCs w:val="28"/>
          <w:lang w:val="en-GB"/>
        </w:rPr>
        <w:t xml:space="preserve"> fast</w:t>
      </w:r>
    </w:p>
    <w:p w14:paraId="13C88C8F" w14:textId="6FFE9E50" w:rsidR="00505C65" w:rsidRPr="00513A83" w:rsidRDefault="00505C65" w:rsidP="00A57FA4">
      <w:pPr>
        <w:spacing w:line="240" w:lineRule="auto"/>
        <w:rPr>
          <w:i/>
          <w:color w:val="283860"/>
          <w:sz w:val="16"/>
          <w:szCs w:val="28"/>
          <w:lang w:val="en-GB"/>
        </w:rPr>
      </w:pPr>
      <w:r w:rsidRPr="00513A83">
        <w:rPr>
          <w:i/>
          <w:color w:val="283860"/>
          <w:sz w:val="16"/>
          <w:szCs w:val="28"/>
          <w:lang w:val="en-GB"/>
        </w:rPr>
        <w:t xml:space="preserve">Key sentence: </w:t>
      </w:r>
      <w:r w:rsidR="00523EA9" w:rsidRPr="00513A83">
        <w:rPr>
          <w:i/>
          <w:color w:val="283860"/>
          <w:sz w:val="16"/>
          <w:szCs w:val="28"/>
          <w:lang w:val="en-GB"/>
        </w:rPr>
        <w:t xml:space="preserve">The </w:t>
      </w:r>
      <w:r w:rsidR="004F179B" w:rsidRPr="00513A83">
        <w:rPr>
          <w:i/>
          <w:color w:val="283860"/>
          <w:sz w:val="16"/>
          <w:szCs w:val="28"/>
          <w:lang w:val="en-GB"/>
        </w:rPr>
        <w:t xml:space="preserve">duration of the </w:t>
      </w:r>
      <w:r w:rsidR="00523EA9" w:rsidRPr="00513A83">
        <w:rPr>
          <w:i/>
          <w:color w:val="283860"/>
          <w:sz w:val="16"/>
          <w:szCs w:val="28"/>
          <w:lang w:val="en-GB"/>
        </w:rPr>
        <w:t xml:space="preserve">average payment delay </w:t>
      </w:r>
      <w:r w:rsidR="00513A83" w:rsidRPr="00513A83">
        <w:rPr>
          <w:i/>
          <w:color w:val="283860"/>
          <w:sz w:val="16"/>
          <w:szCs w:val="28"/>
          <w:lang w:val="en-GB"/>
        </w:rPr>
        <w:t xml:space="preserve">increased by one day to 28.7 days in 2022. </w:t>
      </w:r>
      <w:r w:rsidR="00B15E07">
        <w:rPr>
          <w:i/>
          <w:color w:val="283860"/>
          <w:sz w:val="16"/>
          <w:szCs w:val="28"/>
          <w:lang w:val="en-GB"/>
        </w:rPr>
        <w:t>Nevertheless, t</w:t>
      </w:r>
      <w:r w:rsidR="00513A83" w:rsidRPr="00513A83">
        <w:rPr>
          <w:i/>
          <w:color w:val="283860"/>
          <w:sz w:val="16"/>
          <w:szCs w:val="28"/>
          <w:lang w:val="en-GB"/>
        </w:rPr>
        <w:t>his is the second lowest payment delay</w:t>
      </w:r>
      <w:r w:rsidR="00E06F70">
        <w:rPr>
          <w:i/>
          <w:color w:val="283860"/>
          <w:sz w:val="16"/>
          <w:szCs w:val="28"/>
          <w:lang w:val="en-GB"/>
        </w:rPr>
        <w:t xml:space="preserve"> number</w:t>
      </w:r>
      <w:r w:rsidR="00513A83" w:rsidRPr="00513A83">
        <w:rPr>
          <w:i/>
          <w:color w:val="283860"/>
          <w:sz w:val="16"/>
          <w:szCs w:val="28"/>
          <w:lang w:val="en-GB"/>
        </w:rPr>
        <w:t xml:space="preserve"> since the beginning of the </w:t>
      </w:r>
      <w:r w:rsidR="0027453F">
        <w:rPr>
          <w:i/>
          <w:color w:val="283860"/>
          <w:sz w:val="16"/>
          <w:szCs w:val="28"/>
          <w:lang w:val="en-GB"/>
        </w:rPr>
        <w:t>time series</w:t>
      </w:r>
      <w:r w:rsidR="00513A83" w:rsidRPr="00513A83">
        <w:rPr>
          <w:i/>
          <w:color w:val="283860"/>
          <w:sz w:val="16"/>
          <w:szCs w:val="28"/>
          <w:lang w:val="en-GB"/>
        </w:rPr>
        <w:t xml:space="preserve"> in 2016</w:t>
      </w:r>
      <w:r w:rsidR="00523EA9" w:rsidRPr="00513A83">
        <w:rPr>
          <w:i/>
          <w:color w:val="283860"/>
          <w:sz w:val="16"/>
          <w:szCs w:val="28"/>
          <w:lang w:val="en-GB"/>
        </w:rPr>
        <w:t xml:space="preserve">. </w:t>
      </w:r>
    </w:p>
    <w:p w14:paraId="4E6E5363" w14:textId="33B3415E" w:rsidR="002C2BD0" w:rsidRPr="00D06D9C" w:rsidRDefault="002C2BD0" w:rsidP="002C2BD0">
      <w:pPr>
        <w:spacing w:line="240" w:lineRule="auto"/>
        <w:rPr>
          <w:color w:val="283860"/>
          <w:sz w:val="16"/>
          <w:szCs w:val="28"/>
          <w:lang w:val="en-GB"/>
        </w:rPr>
      </w:pPr>
      <w:r w:rsidRPr="00D06D9C">
        <w:rPr>
          <w:b/>
          <w:color w:val="283860"/>
          <w:sz w:val="16"/>
          <w:szCs w:val="28"/>
          <w:lang w:val="en-GB"/>
        </w:rPr>
        <w:t>Chart 5:</w:t>
      </w:r>
      <w:r w:rsidRPr="00D06D9C">
        <w:rPr>
          <w:color w:val="283860"/>
          <w:sz w:val="16"/>
          <w:szCs w:val="28"/>
          <w:lang w:val="en-GB"/>
        </w:rPr>
        <w:t xml:space="preserve"> </w:t>
      </w:r>
      <w:r w:rsidRPr="00D06D9C">
        <w:rPr>
          <w:color w:val="283860"/>
          <w:sz w:val="16"/>
          <w:szCs w:val="28"/>
          <w:lang w:val="en-GB"/>
        </w:rPr>
        <w:br/>
      </w:r>
      <w:r w:rsidR="009A4CBB" w:rsidRPr="00D06D9C">
        <w:rPr>
          <w:color w:val="283860"/>
          <w:sz w:val="16"/>
          <w:szCs w:val="28"/>
          <w:lang w:val="en-GB"/>
        </w:rPr>
        <w:t xml:space="preserve">Share of companies </w:t>
      </w:r>
      <w:r w:rsidR="00D36975" w:rsidRPr="00D06D9C">
        <w:rPr>
          <w:color w:val="283860"/>
          <w:sz w:val="16"/>
          <w:szCs w:val="28"/>
          <w:lang w:val="en-GB"/>
        </w:rPr>
        <w:t>reporting</w:t>
      </w:r>
      <w:r w:rsidR="009A4CBB" w:rsidRPr="00D06D9C">
        <w:rPr>
          <w:color w:val="283860"/>
          <w:sz w:val="16"/>
          <w:szCs w:val="28"/>
          <w:lang w:val="en-GB"/>
        </w:rPr>
        <w:t xml:space="preserve"> payment delays by sector</w:t>
      </w:r>
      <w:r w:rsidRPr="00D06D9C">
        <w:rPr>
          <w:color w:val="283860"/>
          <w:sz w:val="16"/>
          <w:szCs w:val="28"/>
          <w:lang w:val="en-GB"/>
        </w:rPr>
        <w:t xml:space="preserve"> </w:t>
      </w:r>
      <w:r w:rsidR="00E06F70">
        <w:rPr>
          <w:color w:val="283860"/>
          <w:sz w:val="16"/>
          <w:szCs w:val="28"/>
          <w:lang w:val="en-GB"/>
        </w:rPr>
        <w:t xml:space="preserve">and year </w:t>
      </w:r>
    </w:p>
    <w:p w14:paraId="7981E32A" w14:textId="046951F4" w:rsidR="002C2BD0" w:rsidRPr="00D06D9C" w:rsidRDefault="002029EB" w:rsidP="002C2BD0">
      <w:pPr>
        <w:spacing w:line="240" w:lineRule="auto"/>
        <w:rPr>
          <w:i/>
          <w:color w:val="283860"/>
          <w:sz w:val="16"/>
          <w:szCs w:val="28"/>
          <w:lang w:val="en-GB"/>
        </w:rPr>
      </w:pPr>
      <w:r w:rsidRPr="002029EB">
        <w:rPr>
          <w:i/>
          <w:noProof/>
          <w:color w:val="283860"/>
          <w:sz w:val="16"/>
          <w:szCs w:val="28"/>
          <w:lang w:eastAsia="de-DE"/>
        </w:rPr>
        <w:lastRenderedPageBreak/>
        <w:drawing>
          <wp:inline distT="0" distB="0" distL="0" distR="0" wp14:anchorId="700FA62B" wp14:editId="65EBE83F">
            <wp:extent cx="3292897" cy="2001946"/>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377" cy="2009534"/>
                    </a:xfrm>
                    <a:prstGeom prst="rect">
                      <a:avLst/>
                    </a:prstGeom>
                    <a:noFill/>
                    <a:ln>
                      <a:noFill/>
                    </a:ln>
                  </pic:spPr>
                </pic:pic>
              </a:graphicData>
            </a:graphic>
          </wp:inline>
        </w:drawing>
      </w:r>
    </w:p>
    <w:p w14:paraId="06F4B92C" w14:textId="403C7076" w:rsidR="002C2BD0" w:rsidRPr="00D06D9C" w:rsidRDefault="002C2BD0" w:rsidP="002C2BD0">
      <w:pPr>
        <w:spacing w:line="240" w:lineRule="auto"/>
        <w:rPr>
          <w:color w:val="000000" w:themeColor="text1"/>
          <w:sz w:val="12"/>
          <w:szCs w:val="28"/>
          <w:lang w:val="en-GB"/>
        </w:rPr>
      </w:pPr>
      <w:r w:rsidRPr="00D06D9C">
        <w:rPr>
          <w:color w:val="000000" w:themeColor="text1"/>
          <w:sz w:val="12"/>
          <w:szCs w:val="28"/>
          <w:lang w:val="en-GB"/>
        </w:rPr>
        <w:t xml:space="preserve">Source: </w:t>
      </w:r>
      <w:proofErr w:type="spellStart"/>
      <w:r w:rsidRPr="00D06D9C">
        <w:rPr>
          <w:color w:val="000000" w:themeColor="text1"/>
          <w:sz w:val="12"/>
          <w:szCs w:val="28"/>
          <w:lang w:val="en-GB"/>
        </w:rPr>
        <w:t>Co</w:t>
      </w:r>
      <w:r w:rsidR="00290E3A" w:rsidRPr="00D06D9C">
        <w:rPr>
          <w:color w:val="000000" w:themeColor="text1"/>
          <w:sz w:val="12"/>
          <w:szCs w:val="28"/>
          <w:lang w:val="en-GB"/>
        </w:rPr>
        <w:t>face</w:t>
      </w:r>
      <w:proofErr w:type="spellEnd"/>
      <w:r w:rsidR="00290E3A" w:rsidRPr="00D06D9C">
        <w:rPr>
          <w:color w:val="000000" w:themeColor="text1"/>
          <w:sz w:val="12"/>
          <w:szCs w:val="28"/>
          <w:lang w:val="en-GB"/>
        </w:rPr>
        <w:t xml:space="preserve"> </w:t>
      </w:r>
      <w:r w:rsidR="00D06D9C" w:rsidRPr="00D06D9C">
        <w:rPr>
          <w:color w:val="000000" w:themeColor="text1"/>
          <w:sz w:val="12"/>
          <w:szCs w:val="28"/>
          <w:lang w:val="en-GB"/>
        </w:rPr>
        <w:t xml:space="preserve">Corporate </w:t>
      </w:r>
      <w:r w:rsidR="00290E3A" w:rsidRPr="00D06D9C">
        <w:rPr>
          <w:color w:val="000000" w:themeColor="text1"/>
          <w:sz w:val="12"/>
          <w:szCs w:val="28"/>
          <w:lang w:val="en-GB"/>
        </w:rPr>
        <w:t>Payment Survey Germany 2022</w:t>
      </w:r>
    </w:p>
    <w:p w14:paraId="74AC1751" w14:textId="1A720AEB" w:rsidR="00A57FA4" w:rsidRPr="00513A83" w:rsidRDefault="00A57FA4" w:rsidP="00A57FA4">
      <w:pPr>
        <w:spacing w:line="240" w:lineRule="auto"/>
        <w:rPr>
          <w:color w:val="283860"/>
          <w:sz w:val="16"/>
          <w:szCs w:val="28"/>
          <w:lang w:val="en-GB"/>
        </w:rPr>
      </w:pPr>
      <w:r w:rsidRPr="00513A83">
        <w:rPr>
          <w:b/>
          <w:color w:val="283860"/>
          <w:sz w:val="16"/>
          <w:szCs w:val="28"/>
          <w:lang w:val="en-GB"/>
        </w:rPr>
        <w:t xml:space="preserve">Chart </w:t>
      </w:r>
      <w:r w:rsidR="009A4CBB" w:rsidRPr="00513A83">
        <w:rPr>
          <w:b/>
          <w:color w:val="283860"/>
          <w:sz w:val="16"/>
          <w:szCs w:val="28"/>
          <w:lang w:val="en-GB"/>
        </w:rPr>
        <w:t>6</w:t>
      </w:r>
      <w:r w:rsidRPr="00513A83">
        <w:rPr>
          <w:b/>
          <w:color w:val="283860"/>
          <w:sz w:val="16"/>
          <w:szCs w:val="28"/>
          <w:lang w:val="en-GB"/>
        </w:rPr>
        <w:t>:</w:t>
      </w:r>
      <w:r w:rsidRPr="00513A83">
        <w:rPr>
          <w:color w:val="283860"/>
          <w:sz w:val="16"/>
          <w:szCs w:val="28"/>
          <w:lang w:val="en-GB"/>
        </w:rPr>
        <w:t xml:space="preserve"> </w:t>
      </w:r>
      <w:r w:rsidRPr="00513A83">
        <w:rPr>
          <w:color w:val="283860"/>
          <w:sz w:val="16"/>
          <w:szCs w:val="28"/>
          <w:lang w:val="en-GB"/>
        </w:rPr>
        <w:br/>
      </w:r>
      <w:r w:rsidR="00513A83" w:rsidRPr="00513A83">
        <w:rPr>
          <w:color w:val="283860"/>
          <w:sz w:val="16"/>
          <w:szCs w:val="28"/>
          <w:lang w:val="en-GB"/>
        </w:rPr>
        <w:t>Hypothetical payment delays</w:t>
      </w:r>
      <w:r w:rsidR="00E06F70">
        <w:rPr>
          <w:color w:val="283860"/>
          <w:sz w:val="16"/>
          <w:szCs w:val="28"/>
          <w:lang w:val="en-GB"/>
        </w:rPr>
        <w:t xml:space="preserve"> in 2022</w:t>
      </w:r>
      <w:r w:rsidR="00513A83" w:rsidRPr="00513A83">
        <w:rPr>
          <w:color w:val="283860"/>
          <w:sz w:val="16"/>
          <w:szCs w:val="28"/>
          <w:lang w:val="en-GB"/>
        </w:rPr>
        <w:t xml:space="preserve"> by</w:t>
      </w:r>
      <w:r w:rsidRPr="00513A83">
        <w:rPr>
          <w:color w:val="283860"/>
          <w:sz w:val="16"/>
          <w:szCs w:val="28"/>
          <w:lang w:val="en-GB"/>
        </w:rPr>
        <w:t xml:space="preserve"> sectors </w:t>
      </w:r>
    </w:p>
    <w:p w14:paraId="09077830" w14:textId="288B3E14" w:rsidR="00A57FA4" w:rsidRPr="00513A83" w:rsidRDefault="00513A83" w:rsidP="00A57FA4">
      <w:pPr>
        <w:spacing w:line="240" w:lineRule="auto"/>
        <w:rPr>
          <w:i/>
          <w:color w:val="283860"/>
          <w:sz w:val="16"/>
          <w:szCs w:val="28"/>
          <w:lang w:val="en-GB"/>
        </w:rPr>
      </w:pPr>
      <w:r w:rsidRPr="00513A83">
        <w:rPr>
          <w:i/>
          <w:noProof/>
          <w:color w:val="283860"/>
          <w:sz w:val="16"/>
          <w:szCs w:val="28"/>
          <w:lang w:eastAsia="de-DE"/>
        </w:rPr>
        <w:drawing>
          <wp:inline distT="0" distB="0" distL="0" distR="0" wp14:anchorId="00DFC506" wp14:editId="0C2292FE">
            <wp:extent cx="3083432" cy="2024743"/>
            <wp:effectExtent l="0" t="0" r="317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280" cy="2045000"/>
                    </a:xfrm>
                    <a:prstGeom prst="rect">
                      <a:avLst/>
                    </a:prstGeom>
                    <a:noFill/>
                    <a:ln>
                      <a:noFill/>
                    </a:ln>
                  </pic:spPr>
                </pic:pic>
              </a:graphicData>
            </a:graphic>
          </wp:inline>
        </w:drawing>
      </w:r>
    </w:p>
    <w:p w14:paraId="0011C23E" w14:textId="0DE85BF6" w:rsidR="00125A66" w:rsidRPr="00513A83" w:rsidRDefault="00125A66" w:rsidP="00125A66">
      <w:pPr>
        <w:spacing w:line="240" w:lineRule="auto"/>
        <w:rPr>
          <w:color w:val="000000" w:themeColor="text1"/>
          <w:sz w:val="12"/>
          <w:szCs w:val="28"/>
          <w:lang w:val="en-GB"/>
        </w:rPr>
      </w:pPr>
      <w:r w:rsidRPr="00513A83">
        <w:rPr>
          <w:color w:val="000000" w:themeColor="text1"/>
          <w:sz w:val="12"/>
          <w:szCs w:val="28"/>
          <w:lang w:val="en-GB"/>
        </w:rPr>
        <w:t xml:space="preserve">Source: </w:t>
      </w:r>
      <w:proofErr w:type="spellStart"/>
      <w:r w:rsidRPr="00513A83">
        <w:rPr>
          <w:color w:val="000000" w:themeColor="text1"/>
          <w:sz w:val="12"/>
          <w:szCs w:val="28"/>
          <w:lang w:val="en-GB"/>
        </w:rPr>
        <w:t>Co</w:t>
      </w:r>
      <w:r w:rsidR="00290E3A" w:rsidRPr="00513A83">
        <w:rPr>
          <w:color w:val="000000" w:themeColor="text1"/>
          <w:sz w:val="12"/>
          <w:szCs w:val="28"/>
          <w:lang w:val="en-GB"/>
        </w:rPr>
        <w:t>face</w:t>
      </w:r>
      <w:proofErr w:type="spellEnd"/>
      <w:r w:rsidR="00513A83" w:rsidRPr="00513A83">
        <w:rPr>
          <w:color w:val="000000" w:themeColor="text1"/>
          <w:sz w:val="12"/>
          <w:szCs w:val="28"/>
          <w:lang w:val="en-GB"/>
        </w:rPr>
        <w:t xml:space="preserve"> Corporate</w:t>
      </w:r>
      <w:r w:rsidR="00290E3A" w:rsidRPr="00513A83">
        <w:rPr>
          <w:color w:val="000000" w:themeColor="text1"/>
          <w:sz w:val="12"/>
          <w:szCs w:val="28"/>
          <w:lang w:val="en-GB"/>
        </w:rPr>
        <w:t xml:space="preserve"> Payment Survey Germany 2022</w:t>
      </w:r>
    </w:p>
    <w:p w14:paraId="01520253" w14:textId="45113BE9" w:rsidR="0051262D" w:rsidRPr="00513A83" w:rsidRDefault="00A57FA4" w:rsidP="0051262D">
      <w:pPr>
        <w:spacing w:line="240" w:lineRule="auto"/>
        <w:rPr>
          <w:color w:val="283860"/>
          <w:sz w:val="16"/>
          <w:szCs w:val="28"/>
          <w:lang w:val="en-GB"/>
        </w:rPr>
      </w:pPr>
      <w:r w:rsidRPr="00513A83">
        <w:rPr>
          <w:b/>
          <w:color w:val="283860"/>
          <w:sz w:val="16"/>
          <w:szCs w:val="28"/>
          <w:lang w:val="en-GB"/>
        </w:rPr>
        <w:t xml:space="preserve">Chart </w:t>
      </w:r>
      <w:r w:rsidR="009A4CBB" w:rsidRPr="00513A83">
        <w:rPr>
          <w:b/>
          <w:color w:val="283860"/>
          <w:sz w:val="16"/>
          <w:szCs w:val="28"/>
          <w:lang w:val="en-GB"/>
        </w:rPr>
        <w:t>7</w:t>
      </w:r>
      <w:r w:rsidR="0051262D" w:rsidRPr="00513A83">
        <w:rPr>
          <w:b/>
          <w:color w:val="283860"/>
          <w:sz w:val="16"/>
          <w:szCs w:val="28"/>
          <w:lang w:val="en-GB"/>
        </w:rPr>
        <w:t>:</w:t>
      </w:r>
      <w:r w:rsidR="0051262D" w:rsidRPr="00513A83">
        <w:rPr>
          <w:color w:val="283860"/>
          <w:sz w:val="16"/>
          <w:szCs w:val="28"/>
          <w:lang w:val="en-GB"/>
        </w:rPr>
        <w:t xml:space="preserve"> </w:t>
      </w:r>
      <w:r w:rsidR="008F6B79" w:rsidRPr="00513A83">
        <w:rPr>
          <w:color w:val="283860"/>
          <w:sz w:val="16"/>
          <w:szCs w:val="28"/>
          <w:lang w:val="en-GB"/>
        </w:rPr>
        <w:br/>
      </w:r>
      <w:r w:rsidR="0051262D" w:rsidRPr="00513A83">
        <w:rPr>
          <w:color w:val="283860"/>
          <w:sz w:val="16"/>
          <w:szCs w:val="28"/>
          <w:lang w:val="en-GB"/>
        </w:rPr>
        <w:t>Average payment delays</w:t>
      </w:r>
      <w:r w:rsidR="00513A83" w:rsidRPr="00513A83">
        <w:rPr>
          <w:color w:val="283860"/>
          <w:sz w:val="16"/>
          <w:szCs w:val="28"/>
          <w:lang w:val="en-GB"/>
        </w:rPr>
        <w:t xml:space="preserve"> by sectors</w:t>
      </w:r>
      <w:r w:rsidR="0051262D" w:rsidRPr="00513A83">
        <w:rPr>
          <w:color w:val="283860"/>
          <w:sz w:val="16"/>
          <w:szCs w:val="28"/>
          <w:lang w:val="en-GB"/>
        </w:rPr>
        <w:t xml:space="preserve"> </w:t>
      </w:r>
      <w:r w:rsidR="00812201" w:rsidRPr="00513A83">
        <w:rPr>
          <w:color w:val="283860"/>
          <w:sz w:val="16"/>
          <w:szCs w:val="28"/>
          <w:lang w:val="en-GB"/>
        </w:rPr>
        <w:t>(</w:t>
      </w:r>
      <w:r w:rsidR="00513A83" w:rsidRPr="00513A83">
        <w:rPr>
          <w:color w:val="283860"/>
          <w:sz w:val="16"/>
          <w:szCs w:val="28"/>
          <w:lang w:val="en-GB"/>
        </w:rPr>
        <w:t xml:space="preserve">in </w:t>
      </w:r>
      <w:r w:rsidR="00812201" w:rsidRPr="00513A83">
        <w:rPr>
          <w:color w:val="283860"/>
          <w:sz w:val="16"/>
          <w:szCs w:val="28"/>
          <w:lang w:val="en-GB"/>
        </w:rPr>
        <w:t>days)</w:t>
      </w:r>
    </w:p>
    <w:p w14:paraId="422FE5B8" w14:textId="64AA7132" w:rsidR="0051262D" w:rsidRPr="00513A83" w:rsidRDefault="00513A83" w:rsidP="00F52442">
      <w:pPr>
        <w:spacing w:line="240" w:lineRule="auto"/>
        <w:rPr>
          <w:i/>
          <w:color w:val="283860"/>
          <w:sz w:val="16"/>
          <w:szCs w:val="28"/>
          <w:lang w:val="en-GB"/>
        </w:rPr>
      </w:pPr>
      <w:r w:rsidRPr="00513A83">
        <w:rPr>
          <w:i/>
          <w:noProof/>
          <w:color w:val="283860"/>
          <w:sz w:val="16"/>
          <w:szCs w:val="28"/>
          <w:lang w:eastAsia="de-DE"/>
        </w:rPr>
        <w:drawing>
          <wp:inline distT="0" distB="0" distL="0" distR="0" wp14:anchorId="0122F7E1" wp14:editId="7D897EB4">
            <wp:extent cx="3699163" cy="2187158"/>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0557" cy="2199807"/>
                    </a:xfrm>
                    <a:prstGeom prst="rect">
                      <a:avLst/>
                    </a:prstGeom>
                    <a:noFill/>
                    <a:ln>
                      <a:noFill/>
                    </a:ln>
                  </pic:spPr>
                </pic:pic>
              </a:graphicData>
            </a:graphic>
          </wp:inline>
        </w:drawing>
      </w:r>
    </w:p>
    <w:p w14:paraId="6D0E84E1" w14:textId="06F0AE22" w:rsidR="002C2BD0" w:rsidRPr="00513A83" w:rsidRDefault="002C2BD0" w:rsidP="002C2BD0">
      <w:pPr>
        <w:spacing w:line="240" w:lineRule="auto"/>
        <w:rPr>
          <w:color w:val="000000" w:themeColor="text1"/>
          <w:sz w:val="12"/>
          <w:szCs w:val="28"/>
          <w:lang w:val="en-GB"/>
        </w:rPr>
      </w:pPr>
      <w:r w:rsidRPr="00513A83">
        <w:rPr>
          <w:color w:val="000000" w:themeColor="text1"/>
          <w:sz w:val="12"/>
          <w:szCs w:val="28"/>
          <w:lang w:val="en-GB"/>
        </w:rPr>
        <w:t xml:space="preserve">Source: </w:t>
      </w:r>
      <w:proofErr w:type="spellStart"/>
      <w:r w:rsidRPr="00513A83">
        <w:rPr>
          <w:color w:val="000000" w:themeColor="text1"/>
          <w:sz w:val="12"/>
          <w:szCs w:val="28"/>
          <w:lang w:val="en-GB"/>
        </w:rPr>
        <w:t>Co</w:t>
      </w:r>
      <w:r w:rsidR="00290E3A" w:rsidRPr="00513A83">
        <w:rPr>
          <w:color w:val="000000" w:themeColor="text1"/>
          <w:sz w:val="12"/>
          <w:szCs w:val="28"/>
          <w:lang w:val="en-GB"/>
        </w:rPr>
        <w:t>face</w:t>
      </w:r>
      <w:proofErr w:type="spellEnd"/>
      <w:r w:rsidR="00290E3A" w:rsidRPr="00513A83">
        <w:rPr>
          <w:color w:val="000000" w:themeColor="text1"/>
          <w:sz w:val="12"/>
          <w:szCs w:val="28"/>
          <w:lang w:val="en-GB"/>
        </w:rPr>
        <w:t xml:space="preserve"> </w:t>
      </w:r>
      <w:r w:rsidR="00513A83" w:rsidRPr="00513A83">
        <w:rPr>
          <w:color w:val="000000" w:themeColor="text1"/>
          <w:sz w:val="12"/>
          <w:szCs w:val="28"/>
          <w:lang w:val="en-GB"/>
        </w:rPr>
        <w:t xml:space="preserve">Corporate </w:t>
      </w:r>
      <w:r w:rsidR="00290E3A" w:rsidRPr="00513A83">
        <w:rPr>
          <w:color w:val="000000" w:themeColor="text1"/>
          <w:sz w:val="12"/>
          <w:szCs w:val="28"/>
          <w:lang w:val="en-GB"/>
        </w:rPr>
        <w:t>Payment Survey Germany 2022</w:t>
      </w:r>
    </w:p>
    <w:p w14:paraId="56FB9C37" w14:textId="7A3093A6" w:rsidR="0019587C" w:rsidRPr="007A7953" w:rsidRDefault="009532EF" w:rsidP="00020E5B">
      <w:pPr>
        <w:pStyle w:val="Listenabsatz"/>
        <w:numPr>
          <w:ilvl w:val="0"/>
          <w:numId w:val="1"/>
        </w:numPr>
        <w:spacing w:line="240" w:lineRule="auto"/>
        <w:jc w:val="both"/>
        <w:rPr>
          <w:color w:val="000000" w:themeColor="text1"/>
          <w:sz w:val="16"/>
          <w:szCs w:val="28"/>
          <w:lang w:val="en-GB"/>
        </w:rPr>
      </w:pPr>
      <w:r w:rsidRPr="00B823B1">
        <w:rPr>
          <w:color w:val="000000" w:themeColor="text1"/>
          <w:sz w:val="16"/>
          <w:szCs w:val="28"/>
          <w:lang w:val="en-GB"/>
        </w:rPr>
        <w:t xml:space="preserve">Since </w:t>
      </w:r>
      <w:r w:rsidR="00D764E9" w:rsidRPr="00B823B1">
        <w:rPr>
          <w:color w:val="000000" w:themeColor="text1"/>
          <w:sz w:val="16"/>
          <w:szCs w:val="28"/>
          <w:lang w:val="en-GB"/>
        </w:rPr>
        <w:t xml:space="preserve">the </w:t>
      </w:r>
      <w:r w:rsidRPr="00B823B1">
        <w:rPr>
          <w:color w:val="000000" w:themeColor="text1"/>
          <w:sz w:val="16"/>
          <w:szCs w:val="28"/>
          <w:lang w:val="en-GB"/>
        </w:rPr>
        <w:t xml:space="preserve">publishing </w:t>
      </w:r>
      <w:r w:rsidR="00E725BA">
        <w:rPr>
          <w:color w:val="000000" w:themeColor="text1"/>
          <w:sz w:val="16"/>
          <w:szCs w:val="28"/>
          <w:lang w:val="en-GB"/>
        </w:rPr>
        <w:t xml:space="preserve">of </w:t>
      </w:r>
      <w:r w:rsidRPr="00B823B1">
        <w:rPr>
          <w:color w:val="000000" w:themeColor="text1"/>
          <w:sz w:val="16"/>
          <w:szCs w:val="28"/>
          <w:lang w:val="en-GB"/>
        </w:rPr>
        <w:t xml:space="preserve">our </w:t>
      </w:r>
      <w:r w:rsidR="00D764E9" w:rsidRPr="00B823B1">
        <w:rPr>
          <w:color w:val="000000" w:themeColor="text1"/>
          <w:sz w:val="16"/>
          <w:szCs w:val="28"/>
          <w:lang w:val="en-GB"/>
        </w:rPr>
        <w:t>previous</w:t>
      </w:r>
      <w:r w:rsidRPr="00B823B1">
        <w:rPr>
          <w:color w:val="000000" w:themeColor="text1"/>
          <w:sz w:val="16"/>
          <w:szCs w:val="28"/>
          <w:lang w:val="en-GB"/>
        </w:rPr>
        <w:t xml:space="preserve"> payment survey in </w:t>
      </w:r>
      <w:r w:rsidR="009A4CBB" w:rsidRPr="00B823B1">
        <w:rPr>
          <w:color w:val="000000" w:themeColor="text1"/>
          <w:sz w:val="16"/>
          <w:szCs w:val="28"/>
          <w:lang w:val="en-GB"/>
        </w:rPr>
        <w:t>202</w:t>
      </w:r>
      <w:r w:rsidR="00513A83" w:rsidRPr="00B823B1">
        <w:rPr>
          <w:color w:val="000000" w:themeColor="text1"/>
          <w:sz w:val="16"/>
          <w:szCs w:val="28"/>
          <w:lang w:val="en-GB"/>
        </w:rPr>
        <w:t>1</w:t>
      </w:r>
      <w:r w:rsidRPr="00B823B1">
        <w:rPr>
          <w:color w:val="000000" w:themeColor="text1"/>
          <w:sz w:val="16"/>
          <w:szCs w:val="28"/>
          <w:lang w:val="en-GB"/>
        </w:rPr>
        <w:t xml:space="preserve">, the number of payment delays </w:t>
      </w:r>
      <w:r w:rsidR="00513A83" w:rsidRPr="00B823B1">
        <w:rPr>
          <w:color w:val="000000" w:themeColor="text1"/>
          <w:sz w:val="16"/>
          <w:szCs w:val="28"/>
          <w:lang w:val="en-GB"/>
        </w:rPr>
        <w:t xml:space="preserve">increased a bit from its low of 59% in 2021 to 65% in 2022. This is still below the 2020 number (68%) and far below the pre-pandemic average of 82%. </w:t>
      </w:r>
      <w:r w:rsidR="0019587C" w:rsidRPr="00B823B1">
        <w:rPr>
          <w:color w:val="000000" w:themeColor="text1"/>
          <w:sz w:val="16"/>
          <w:szCs w:val="28"/>
          <w:lang w:val="en-GB"/>
        </w:rPr>
        <w:t>With the exception</w:t>
      </w:r>
      <w:r w:rsidR="009C0917" w:rsidRPr="00B823B1">
        <w:rPr>
          <w:color w:val="000000" w:themeColor="text1"/>
          <w:sz w:val="16"/>
          <w:szCs w:val="28"/>
          <w:lang w:val="en-GB"/>
        </w:rPr>
        <w:t xml:space="preserve"> of</w:t>
      </w:r>
      <w:r w:rsidR="00B823B1" w:rsidRPr="00B823B1">
        <w:rPr>
          <w:color w:val="000000" w:themeColor="text1"/>
          <w:sz w:val="16"/>
          <w:szCs w:val="28"/>
          <w:lang w:val="en-GB"/>
        </w:rPr>
        <w:t xml:space="preserve"> textile-clothing, </w:t>
      </w:r>
      <w:r w:rsidR="0019587C" w:rsidRPr="00B823B1">
        <w:rPr>
          <w:color w:val="000000" w:themeColor="text1"/>
          <w:sz w:val="16"/>
          <w:szCs w:val="28"/>
          <w:lang w:val="en-GB"/>
        </w:rPr>
        <w:t>metals</w:t>
      </w:r>
      <w:r w:rsidR="00B823B1" w:rsidRPr="00B823B1">
        <w:rPr>
          <w:color w:val="000000" w:themeColor="text1"/>
          <w:sz w:val="16"/>
          <w:szCs w:val="28"/>
          <w:lang w:val="en-GB"/>
        </w:rPr>
        <w:t xml:space="preserve"> and wood</w:t>
      </w:r>
      <w:r w:rsidR="00A66505" w:rsidRPr="00B823B1">
        <w:rPr>
          <w:color w:val="000000" w:themeColor="text1"/>
          <w:sz w:val="16"/>
          <w:szCs w:val="28"/>
          <w:lang w:val="en-GB"/>
        </w:rPr>
        <w:t>,</w:t>
      </w:r>
      <w:r w:rsidR="0019587C" w:rsidRPr="00B823B1">
        <w:rPr>
          <w:color w:val="000000" w:themeColor="text1"/>
          <w:sz w:val="16"/>
          <w:szCs w:val="28"/>
          <w:lang w:val="en-GB"/>
        </w:rPr>
        <w:t xml:space="preserve"> the numbers of</w:t>
      </w:r>
      <w:r w:rsidR="00E35DD4" w:rsidRPr="00B823B1">
        <w:rPr>
          <w:color w:val="000000" w:themeColor="text1"/>
          <w:sz w:val="16"/>
          <w:szCs w:val="28"/>
          <w:lang w:val="en-GB"/>
        </w:rPr>
        <w:t xml:space="preserve"> payment</w:t>
      </w:r>
      <w:r w:rsidR="0019587C" w:rsidRPr="00B823B1">
        <w:rPr>
          <w:color w:val="000000" w:themeColor="text1"/>
          <w:sz w:val="16"/>
          <w:szCs w:val="28"/>
          <w:lang w:val="en-GB"/>
        </w:rPr>
        <w:t xml:space="preserve"> delays </w:t>
      </w:r>
      <w:r w:rsidR="00B823B1" w:rsidRPr="00B823B1">
        <w:rPr>
          <w:color w:val="000000" w:themeColor="text1"/>
          <w:sz w:val="16"/>
          <w:szCs w:val="28"/>
          <w:lang w:val="en-GB"/>
        </w:rPr>
        <w:t>increased</w:t>
      </w:r>
      <w:r w:rsidR="0019587C" w:rsidRPr="00B823B1">
        <w:rPr>
          <w:color w:val="000000" w:themeColor="text1"/>
          <w:sz w:val="16"/>
          <w:szCs w:val="28"/>
          <w:lang w:val="en-GB"/>
        </w:rPr>
        <w:t xml:space="preserve"> in all sectors in 202</w:t>
      </w:r>
      <w:r w:rsidR="00B823B1" w:rsidRPr="00B823B1">
        <w:rPr>
          <w:color w:val="000000" w:themeColor="text1"/>
          <w:sz w:val="16"/>
          <w:szCs w:val="28"/>
          <w:lang w:val="en-GB"/>
        </w:rPr>
        <w:t>2</w:t>
      </w:r>
      <w:r w:rsidR="0019587C" w:rsidRPr="00B823B1">
        <w:rPr>
          <w:color w:val="000000" w:themeColor="text1"/>
          <w:sz w:val="16"/>
          <w:szCs w:val="28"/>
          <w:lang w:val="en-GB"/>
        </w:rPr>
        <w:t xml:space="preserve">. However, while </w:t>
      </w:r>
      <w:r w:rsidR="00874F7B" w:rsidRPr="00E55506">
        <w:rPr>
          <w:color w:val="000000" w:themeColor="text1"/>
          <w:sz w:val="16"/>
          <w:szCs w:val="28"/>
          <w:lang w:val="en-GB"/>
        </w:rPr>
        <w:t>less than half</w:t>
      </w:r>
      <w:r w:rsidR="00B823B1" w:rsidRPr="00E55506">
        <w:rPr>
          <w:color w:val="000000" w:themeColor="text1"/>
          <w:sz w:val="16"/>
          <w:szCs w:val="28"/>
          <w:lang w:val="en-GB"/>
        </w:rPr>
        <w:t xml:space="preserve"> of </w:t>
      </w:r>
      <w:r w:rsidR="00F64D4A">
        <w:rPr>
          <w:color w:val="000000" w:themeColor="text1"/>
          <w:sz w:val="16"/>
          <w:szCs w:val="28"/>
          <w:lang w:val="en-GB"/>
        </w:rPr>
        <w:t xml:space="preserve">all participating </w:t>
      </w:r>
      <w:r w:rsidR="00B823B1" w:rsidRPr="00E55506">
        <w:rPr>
          <w:color w:val="000000" w:themeColor="text1"/>
          <w:sz w:val="16"/>
          <w:szCs w:val="28"/>
          <w:lang w:val="en-GB"/>
        </w:rPr>
        <w:t xml:space="preserve">companies in the finance and the </w:t>
      </w:r>
      <w:proofErr w:type="spellStart"/>
      <w:r w:rsidR="00B823B1" w:rsidRPr="00E55506">
        <w:rPr>
          <w:color w:val="000000" w:themeColor="text1"/>
          <w:sz w:val="16"/>
          <w:szCs w:val="28"/>
          <w:lang w:val="en-GB"/>
        </w:rPr>
        <w:t>agri</w:t>
      </w:r>
      <w:proofErr w:type="spellEnd"/>
      <w:r w:rsidR="00B823B1" w:rsidRPr="00E55506">
        <w:rPr>
          <w:color w:val="000000" w:themeColor="text1"/>
          <w:sz w:val="16"/>
          <w:szCs w:val="28"/>
          <w:lang w:val="en-GB"/>
        </w:rPr>
        <w:t xml:space="preserve">-food </w:t>
      </w:r>
      <w:r w:rsidR="00E35DD4" w:rsidRPr="00E55506">
        <w:rPr>
          <w:color w:val="000000" w:themeColor="text1"/>
          <w:sz w:val="16"/>
          <w:szCs w:val="28"/>
          <w:lang w:val="en-GB"/>
        </w:rPr>
        <w:t>sector</w:t>
      </w:r>
      <w:r w:rsidR="00874F7B" w:rsidRPr="00E55506">
        <w:rPr>
          <w:color w:val="000000" w:themeColor="text1"/>
          <w:sz w:val="16"/>
          <w:szCs w:val="28"/>
          <w:lang w:val="en-GB"/>
        </w:rPr>
        <w:t xml:space="preserve"> report</w:t>
      </w:r>
      <w:r w:rsidR="00E35DD4" w:rsidRPr="00E55506">
        <w:rPr>
          <w:color w:val="000000" w:themeColor="text1"/>
          <w:sz w:val="16"/>
          <w:szCs w:val="28"/>
          <w:lang w:val="en-GB"/>
        </w:rPr>
        <w:t>ed</w:t>
      </w:r>
      <w:r w:rsidR="00874F7B" w:rsidRPr="00E55506">
        <w:rPr>
          <w:color w:val="000000" w:themeColor="text1"/>
          <w:sz w:val="16"/>
          <w:szCs w:val="28"/>
          <w:lang w:val="en-GB"/>
        </w:rPr>
        <w:t xml:space="preserve"> late payments</w:t>
      </w:r>
      <w:r w:rsidR="0019587C" w:rsidRPr="00E55506">
        <w:rPr>
          <w:color w:val="000000" w:themeColor="text1"/>
          <w:sz w:val="16"/>
          <w:szCs w:val="28"/>
          <w:lang w:val="en-GB"/>
        </w:rPr>
        <w:t xml:space="preserve">, </w:t>
      </w:r>
      <w:r w:rsidR="00E35DD4" w:rsidRPr="00E55506">
        <w:rPr>
          <w:color w:val="000000" w:themeColor="text1"/>
          <w:sz w:val="16"/>
          <w:szCs w:val="28"/>
          <w:lang w:val="en-GB"/>
        </w:rPr>
        <w:t xml:space="preserve">the figure was at </w:t>
      </w:r>
      <w:r w:rsidR="0019587C" w:rsidRPr="00E55506">
        <w:rPr>
          <w:color w:val="000000" w:themeColor="text1"/>
          <w:sz w:val="16"/>
          <w:szCs w:val="28"/>
          <w:lang w:val="en-GB"/>
        </w:rPr>
        <w:t>7</w:t>
      </w:r>
      <w:r w:rsidR="00B823B1" w:rsidRPr="00E55506">
        <w:rPr>
          <w:color w:val="000000" w:themeColor="text1"/>
          <w:sz w:val="16"/>
          <w:szCs w:val="28"/>
          <w:lang w:val="en-GB"/>
        </w:rPr>
        <w:t>6</w:t>
      </w:r>
      <w:r w:rsidR="0019587C" w:rsidRPr="00E55506">
        <w:rPr>
          <w:color w:val="000000" w:themeColor="text1"/>
          <w:sz w:val="16"/>
          <w:szCs w:val="28"/>
          <w:lang w:val="en-GB"/>
        </w:rPr>
        <w:t xml:space="preserve">% in the </w:t>
      </w:r>
      <w:r w:rsidR="00B823B1" w:rsidRPr="00E55506">
        <w:rPr>
          <w:color w:val="000000" w:themeColor="text1"/>
          <w:sz w:val="16"/>
          <w:szCs w:val="28"/>
          <w:lang w:val="en-GB"/>
        </w:rPr>
        <w:t>pharma-</w:t>
      </w:r>
      <w:r w:rsidR="00B823B1" w:rsidRPr="007A7953">
        <w:rPr>
          <w:color w:val="000000" w:themeColor="text1"/>
          <w:sz w:val="16"/>
          <w:szCs w:val="28"/>
          <w:lang w:val="en-GB"/>
        </w:rPr>
        <w:t>chemical</w:t>
      </w:r>
      <w:r w:rsidR="0019587C" w:rsidRPr="007A7953">
        <w:rPr>
          <w:color w:val="000000" w:themeColor="text1"/>
          <w:sz w:val="16"/>
          <w:szCs w:val="28"/>
          <w:lang w:val="en-GB"/>
        </w:rPr>
        <w:t xml:space="preserve"> sector</w:t>
      </w:r>
      <w:r w:rsidR="00B823B1" w:rsidRPr="007A7953">
        <w:rPr>
          <w:color w:val="000000" w:themeColor="text1"/>
          <w:sz w:val="16"/>
          <w:szCs w:val="28"/>
          <w:lang w:val="en-GB"/>
        </w:rPr>
        <w:t>. There</w:t>
      </w:r>
      <w:r w:rsidR="00BB040C">
        <w:rPr>
          <w:color w:val="000000" w:themeColor="text1"/>
          <w:sz w:val="16"/>
          <w:szCs w:val="28"/>
          <w:lang w:val="en-GB"/>
        </w:rPr>
        <w:t>,</w:t>
      </w:r>
      <w:r w:rsidR="00B823B1" w:rsidRPr="007A7953">
        <w:rPr>
          <w:color w:val="000000" w:themeColor="text1"/>
          <w:sz w:val="16"/>
          <w:szCs w:val="28"/>
          <w:lang w:val="en-GB"/>
        </w:rPr>
        <w:t xml:space="preserve"> the increase was the most noticeable with a jump of 21 percentage points</w:t>
      </w:r>
      <w:r w:rsidR="0019587C" w:rsidRPr="007A7953">
        <w:rPr>
          <w:color w:val="000000" w:themeColor="text1"/>
          <w:sz w:val="16"/>
          <w:szCs w:val="28"/>
          <w:lang w:val="en-GB"/>
        </w:rPr>
        <w:t xml:space="preserve"> </w:t>
      </w:r>
      <w:r w:rsidR="0019587C" w:rsidRPr="007A7953">
        <w:rPr>
          <w:b/>
          <w:color w:val="000000" w:themeColor="text1"/>
          <w:sz w:val="16"/>
          <w:szCs w:val="28"/>
          <w:lang w:val="en-GB"/>
        </w:rPr>
        <w:t>(Chart 5)</w:t>
      </w:r>
      <w:r w:rsidR="0019587C" w:rsidRPr="007A7953">
        <w:rPr>
          <w:color w:val="000000" w:themeColor="text1"/>
          <w:sz w:val="16"/>
          <w:szCs w:val="28"/>
          <w:lang w:val="en-GB"/>
        </w:rPr>
        <w:t>.</w:t>
      </w:r>
    </w:p>
    <w:p w14:paraId="373D6752" w14:textId="0180BCC2" w:rsidR="00523EA9" w:rsidRPr="001E7A2C" w:rsidRDefault="0019587C" w:rsidP="00B76D6A">
      <w:pPr>
        <w:pStyle w:val="Listenabsatz"/>
        <w:numPr>
          <w:ilvl w:val="0"/>
          <w:numId w:val="1"/>
        </w:numPr>
        <w:spacing w:line="240" w:lineRule="auto"/>
        <w:jc w:val="both"/>
        <w:rPr>
          <w:color w:val="000000" w:themeColor="text1"/>
          <w:sz w:val="16"/>
          <w:szCs w:val="28"/>
          <w:lang w:val="en-GB"/>
        </w:rPr>
      </w:pPr>
      <w:r w:rsidRPr="001E7A2C">
        <w:rPr>
          <w:color w:val="000000" w:themeColor="text1"/>
          <w:sz w:val="16"/>
          <w:szCs w:val="28"/>
          <w:lang w:val="en-GB"/>
        </w:rPr>
        <w:t xml:space="preserve">The </w:t>
      </w:r>
      <w:r w:rsidR="00EE0573" w:rsidRPr="001E7A2C">
        <w:rPr>
          <w:color w:val="000000" w:themeColor="text1"/>
          <w:sz w:val="16"/>
          <w:szCs w:val="28"/>
          <w:lang w:val="en-GB"/>
        </w:rPr>
        <w:t xml:space="preserve">paper-packing </w:t>
      </w:r>
      <w:r w:rsidRPr="001E7A2C">
        <w:rPr>
          <w:color w:val="000000" w:themeColor="text1"/>
          <w:sz w:val="16"/>
          <w:szCs w:val="28"/>
          <w:lang w:val="en-GB"/>
        </w:rPr>
        <w:t>sector</w:t>
      </w:r>
      <w:r w:rsidR="00E35DD4" w:rsidRPr="001E7A2C">
        <w:rPr>
          <w:color w:val="000000" w:themeColor="text1"/>
          <w:sz w:val="16"/>
          <w:szCs w:val="28"/>
          <w:lang w:val="en-GB"/>
        </w:rPr>
        <w:t xml:space="preserve"> is</w:t>
      </w:r>
      <w:r w:rsidRPr="001E7A2C">
        <w:rPr>
          <w:color w:val="000000" w:themeColor="text1"/>
          <w:sz w:val="16"/>
          <w:szCs w:val="28"/>
          <w:lang w:val="en-GB"/>
        </w:rPr>
        <w:t xml:space="preserve"> where companies </w:t>
      </w:r>
      <w:r w:rsidR="00874F7B" w:rsidRPr="001E7A2C">
        <w:rPr>
          <w:color w:val="000000" w:themeColor="text1"/>
          <w:sz w:val="16"/>
          <w:szCs w:val="28"/>
          <w:lang w:val="en-GB"/>
        </w:rPr>
        <w:t>wait</w:t>
      </w:r>
      <w:r w:rsidR="00F64D4A">
        <w:rPr>
          <w:color w:val="000000" w:themeColor="text1"/>
          <w:sz w:val="16"/>
          <w:szCs w:val="28"/>
          <w:lang w:val="en-GB"/>
        </w:rPr>
        <w:t>ed</w:t>
      </w:r>
      <w:r w:rsidR="00874F7B" w:rsidRPr="001E7A2C">
        <w:rPr>
          <w:color w:val="000000" w:themeColor="text1"/>
          <w:sz w:val="16"/>
          <w:szCs w:val="28"/>
          <w:lang w:val="en-GB"/>
        </w:rPr>
        <w:t xml:space="preserve"> </w:t>
      </w:r>
      <w:r w:rsidR="00523EA9" w:rsidRPr="001E7A2C">
        <w:rPr>
          <w:color w:val="000000" w:themeColor="text1"/>
          <w:sz w:val="16"/>
          <w:szCs w:val="28"/>
          <w:lang w:val="en-GB"/>
        </w:rPr>
        <w:t xml:space="preserve">the shortest time </w:t>
      </w:r>
      <w:r w:rsidR="00B76D6A">
        <w:rPr>
          <w:color w:val="000000" w:themeColor="text1"/>
          <w:sz w:val="16"/>
          <w:szCs w:val="28"/>
          <w:lang w:val="en-GB"/>
        </w:rPr>
        <w:t xml:space="preserve">after </w:t>
      </w:r>
      <w:r w:rsidR="00B76D6A" w:rsidRPr="00B76D6A">
        <w:rPr>
          <w:color w:val="000000" w:themeColor="text1"/>
          <w:sz w:val="16"/>
          <w:szCs w:val="28"/>
          <w:lang w:val="en-GB"/>
        </w:rPr>
        <w:t xml:space="preserve">the due date of payment </w:t>
      </w:r>
      <w:r w:rsidR="00EE0573" w:rsidRPr="001E7A2C">
        <w:rPr>
          <w:color w:val="000000" w:themeColor="text1"/>
          <w:sz w:val="16"/>
          <w:szCs w:val="28"/>
          <w:lang w:val="en-GB"/>
        </w:rPr>
        <w:t>this year</w:t>
      </w:r>
      <w:r w:rsidR="00523EA9" w:rsidRPr="001E7A2C">
        <w:rPr>
          <w:color w:val="000000" w:themeColor="text1"/>
          <w:sz w:val="16"/>
          <w:szCs w:val="28"/>
          <w:lang w:val="en-GB"/>
        </w:rPr>
        <w:t xml:space="preserve">. </w:t>
      </w:r>
      <w:r w:rsidR="00874F7B" w:rsidRPr="001E7A2C">
        <w:rPr>
          <w:color w:val="000000" w:themeColor="text1"/>
          <w:sz w:val="16"/>
          <w:szCs w:val="28"/>
          <w:lang w:val="en-GB"/>
        </w:rPr>
        <w:t>In this sector</w:t>
      </w:r>
      <w:r w:rsidR="00523EA9" w:rsidRPr="001E7A2C">
        <w:rPr>
          <w:color w:val="000000" w:themeColor="text1"/>
          <w:sz w:val="16"/>
          <w:szCs w:val="28"/>
          <w:lang w:val="en-GB"/>
        </w:rPr>
        <w:t xml:space="preserve">, </w:t>
      </w:r>
      <w:r w:rsidR="00A57FA4" w:rsidRPr="001E7A2C">
        <w:rPr>
          <w:color w:val="000000" w:themeColor="text1"/>
          <w:sz w:val="16"/>
          <w:szCs w:val="28"/>
          <w:lang w:val="en-GB"/>
        </w:rPr>
        <w:t xml:space="preserve">the </w:t>
      </w:r>
      <w:r w:rsidR="00874F7B" w:rsidRPr="001E7A2C">
        <w:rPr>
          <w:color w:val="000000" w:themeColor="text1"/>
          <w:sz w:val="16"/>
          <w:szCs w:val="28"/>
          <w:lang w:val="en-GB"/>
        </w:rPr>
        <w:t xml:space="preserve">vast majority of </w:t>
      </w:r>
      <w:r w:rsidR="00927C6E" w:rsidRPr="001E7A2C">
        <w:rPr>
          <w:color w:val="000000" w:themeColor="text1"/>
          <w:sz w:val="16"/>
          <w:szCs w:val="28"/>
          <w:lang w:val="en-GB"/>
        </w:rPr>
        <w:t xml:space="preserve">surveyed </w:t>
      </w:r>
      <w:r w:rsidR="00523EA9" w:rsidRPr="001E7A2C">
        <w:rPr>
          <w:color w:val="000000" w:themeColor="text1"/>
          <w:sz w:val="16"/>
          <w:szCs w:val="28"/>
          <w:lang w:val="en-GB"/>
        </w:rPr>
        <w:t xml:space="preserve">companies </w:t>
      </w:r>
      <w:r w:rsidR="00874F7B" w:rsidRPr="001E7A2C">
        <w:rPr>
          <w:color w:val="000000" w:themeColor="text1"/>
          <w:sz w:val="16"/>
          <w:szCs w:val="28"/>
          <w:lang w:val="en-GB"/>
        </w:rPr>
        <w:t xml:space="preserve">reported delays </w:t>
      </w:r>
      <w:r w:rsidR="00523EA9" w:rsidRPr="001E7A2C">
        <w:rPr>
          <w:color w:val="000000" w:themeColor="text1"/>
          <w:sz w:val="16"/>
          <w:szCs w:val="28"/>
          <w:lang w:val="en-GB"/>
        </w:rPr>
        <w:t>no longer t</w:t>
      </w:r>
      <w:r w:rsidR="00A57FA4" w:rsidRPr="001E7A2C">
        <w:rPr>
          <w:color w:val="000000" w:themeColor="text1"/>
          <w:sz w:val="16"/>
          <w:szCs w:val="28"/>
          <w:lang w:val="en-GB"/>
        </w:rPr>
        <w:t xml:space="preserve">han </w:t>
      </w:r>
      <w:r w:rsidR="00874F7B" w:rsidRPr="001E7A2C">
        <w:rPr>
          <w:color w:val="000000" w:themeColor="text1"/>
          <w:sz w:val="16"/>
          <w:szCs w:val="28"/>
          <w:lang w:val="en-GB"/>
        </w:rPr>
        <w:t xml:space="preserve">30 days and no company indicated delays above </w:t>
      </w:r>
      <w:r w:rsidR="00A57FA4" w:rsidRPr="001E7A2C">
        <w:rPr>
          <w:color w:val="000000" w:themeColor="text1"/>
          <w:sz w:val="16"/>
          <w:szCs w:val="28"/>
          <w:lang w:val="en-GB"/>
        </w:rPr>
        <w:t>60 days</w:t>
      </w:r>
      <w:r w:rsidR="00EE0573" w:rsidRPr="001E7A2C">
        <w:rPr>
          <w:color w:val="000000" w:themeColor="text1"/>
          <w:sz w:val="16"/>
          <w:szCs w:val="28"/>
          <w:lang w:val="en-GB"/>
        </w:rPr>
        <w:t>.</w:t>
      </w:r>
      <w:r w:rsidR="00A57FA4" w:rsidRPr="001E7A2C">
        <w:rPr>
          <w:color w:val="000000" w:themeColor="text1"/>
          <w:sz w:val="16"/>
          <w:szCs w:val="28"/>
          <w:lang w:val="en-GB"/>
        </w:rPr>
        <w:t xml:space="preserve"> </w:t>
      </w:r>
      <w:r w:rsidR="00EE0573" w:rsidRPr="001E7A2C">
        <w:rPr>
          <w:color w:val="000000" w:themeColor="text1"/>
          <w:sz w:val="16"/>
          <w:szCs w:val="28"/>
          <w:lang w:val="en-GB"/>
        </w:rPr>
        <w:t xml:space="preserve">In contrast, </w:t>
      </w:r>
      <w:r w:rsidR="00B76D6A">
        <w:rPr>
          <w:color w:val="000000" w:themeColor="text1"/>
          <w:sz w:val="16"/>
          <w:szCs w:val="28"/>
          <w:lang w:val="en-GB"/>
        </w:rPr>
        <w:t>some</w:t>
      </w:r>
      <w:r w:rsidR="00E55506" w:rsidRPr="001E7A2C">
        <w:rPr>
          <w:color w:val="000000" w:themeColor="text1"/>
          <w:sz w:val="16"/>
          <w:szCs w:val="28"/>
          <w:lang w:val="en-GB"/>
        </w:rPr>
        <w:t xml:space="preserve"> companies had to wait over 150 days for their money </w:t>
      </w:r>
      <w:r w:rsidR="00EE0573" w:rsidRPr="001E7A2C">
        <w:rPr>
          <w:color w:val="000000" w:themeColor="text1"/>
          <w:sz w:val="16"/>
          <w:szCs w:val="28"/>
          <w:lang w:val="en-GB"/>
        </w:rPr>
        <w:t>in machinery (1.9%</w:t>
      </w:r>
      <w:r w:rsidR="00E55506" w:rsidRPr="001E7A2C">
        <w:rPr>
          <w:color w:val="000000" w:themeColor="text1"/>
          <w:sz w:val="16"/>
          <w:szCs w:val="28"/>
          <w:lang w:val="en-GB"/>
        </w:rPr>
        <w:t xml:space="preserve"> of all </w:t>
      </w:r>
      <w:r w:rsidR="00F64D4A">
        <w:rPr>
          <w:color w:val="000000" w:themeColor="text1"/>
          <w:sz w:val="16"/>
          <w:szCs w:val="28"/>
          <w:lang w:val="en-GB"/>
        </w:rPr>
        <w:t xml:space="preserve">participating </w:t>
      </w:r>
      <w:r w:rsidR="00E55506" w:rsidRPr="001E7A2C">
        <w:rPr>
          <w:color w:val="000000" w:themeColor="text1"/>
          <w:sz w:val="16"/>
          <w:szCs w:val="28"/>
          <w:lang w:val="en-GB"/>
        </w:rPr>
        <w:t>machinery companies</w:t>
      </w:r>
      <w:r w:rsidR="00EE0573" w:rsidRPr="001E7A2C">
        <w:rPr>
          <w:color w:val="000000" w:themeColor="text1"/>
          <w:sz w:val="16"/>
          <w:szCs w:val="28"/>
          <w:lang w:val="en-GB"/>
        </w:rPr>
        <w:t xml:space="preserve">), </w:t>
      </w:r>
      <w:r w:rsidR="00E55506" w:rsidRPr="001E7A2C">
        <w:rPr>
          <w:color w:val="000000" w:themeColor="text1"/>
          <w:sz w:val="16"/>
          <w:szCs w:val="28"/>
          <w:lang w:val="en-GB"/>
        </w:rPr>
        <w:t xml:space="preserve">the </w:t>
      </w:r>
      <w:r w:rsidR="00EE0573" w:rsidRPr="001E7A2C">
        <w:rPr>
          <w:color w:val="000000" w:themeColor="text1"/>
          <w:sz w:val="16"/>
          <w:szCs w:val="28"/>
          <w:lang w:val="en-GB"/>
        </w:rPr>
        <w:t xml:space="preserve">pharma-chemical sector (1.4%) and in construction (1.2%) </w:t>
      </w:r>
      <w:r w:rsidR="00E55506" w:rsidRPr="001E7A2C">
        <w:rPr>
          <w:b/>
          <w:color w:val="000000" w:themeColor="text1"/>
          <w:sz w:val="16"/>
          <w:szCs w:val="28"/>
          <w:lang w:val="en-GB"/>
        </w:rPr>
        <w:t>(Chart 6)</w:t>
      </w:r>
      <w:r w:rsidR="00E55506" w:rsidRPr="001E7A2C">
        <w:rPr>
          <w:color w:val="000000" w:themeColor="text1"/>
          <w:sz w:val="16"/>
          <w:szCs w:val="28"/>
          <w:lang w:val="en-GB"/>
        </w:rPr>
        <w:t>.</w:t>
      </w:r>
      <w:r w:rsidR="00EE0573" w:rsidRPr="001E7A2C">
        <w:rPr>
          <w:color w:val="000000" w:themeColor="text1"/>
          <w:sz w:val="16"/>
          <w:szCs w:val="28"/>
          <w:lang w:val="en-GB"/>
        </w:rPr>
        <w:t xml:space="preserve"> Last year only the metal sector reported ultra-long payment delays</w:t>
      </w:r>
      <w:r w:rsidR="00B51B31">
        <w:rPr>
          <w:color w:val="000000" w:themeColor="text1"/>
          <w:sz w:val="16"/>
          <w:szCs w:val="28"/>
          <w:lang w:val="en-GB"/>
        </w:rPr>
        <w:t xml:space="preserve"> of over 150 days</w:t>
      </w:r>
      <w:r w:rsidR="00EE0573" w:rsidRPr="001E7A2C">
        <w:rPr>
          <w:color w:val="000000" w:themeColor="text1"/>
          <w:sz w:val="16"/>
          <w:szCs w:val="28"/>
          <w:lang w:val="en-GB"/>
        </w:rPr>
        <w:t xml:space="preserve">. </w:t>
      </w:r>
    </w:p>
    <w:p w14:paraId="13ACF1AF" w14:textId="10895E98" w:rsidR="00523EA9" w:rsidRPr="00523A22" w:rsidRDefault="00AC18A6" w:rsidP="00861003">
      <w:pPr>
        <w:pStyle w:val="Listenabsatz"/>
        <w:numPr>
          <w:ilvl w:val="0"/>
          <w:numId w:val="1"/>
        </w:numPr>
        <w:spacing w:line="240" w:lineRule="auto"/>
        <w:jc w:val="both"/>
        <w:rPr>
          <w:color w:val="000000" w:themeColor="text1"/>
          <w:sz w:val="16"/>
          <w:szCs w:val="28"/>
          <w:lang w:val="en-GB"/>
        </w:rPr>
      </w:pPr>
      <w:r w:rsidRPr="001E7A2C">
        <w:rPr>
          <w:color w:val="000000" w:themeColor="text1"/>
          <w:sz w:val="16"/>
          <w:szCs w:val="28"/>
          <w:lang w:val="en-GB"/>
        </w:rPr>
        <w:lastRenderedPageBreak/>
        <w:t>The average</w:t>
      </w:r>
      <w:r w:rsidR="00694A19" w:rsidRPr="001E7A2C">
        <w:rPr>
          <w:color w:val="000000" w:themeColor="text1"/>
          <w:sz w:val="16"/>
          <w:szCs w:val="28"/>
          <w:lang w:val="en-GB"/>
        </w:rPr>
        <w:t xml:space="preserve"> duration of</w:t>
      </w:r>
      <w:r w:rsidRPr="001E7A2C">
        <w:rPr>
          <w:color w:val="000000" w:themeColor="text1"/>
          <w:sz w:val="16"/>
          <w:szCs w:val="28"/>
          <w:lang w:val="en-GB"/>
        </w:rPr>
        <w:t xml:space="preserve"> payment delay</w:t>
      </w:r>
      <w:r w:rsidR="00927C6E" w:rsidRPr="001E7A2C">
        <w:rPr>
          <w:color w:val="000000" w:themeColor="text1"/>
          <w:sz w:val="16"/>
          <w:szCs w:val="28"/>
          <w:lang w:val="en-GB"/>
        </w:rPr>
        <w:t>s</w:t>
      </w:r>
      <w:r w:rsidRPr="001E7A2C">
        <w:rPr>
          <w:color w:val="000000" w:themeColor="text1"/>
          <w:sz w:val="16"/>
          <w:szCs w:val="28"/>
          <w:lang w:val="en-GB"/>
        </w:rPr>
        <w:t xml:space="preserve"> </w:t>
      </w:r>
      <w:r w:rsidR="00E55506" w:rsidRPr="001E7A2C">
        <w:rPr>
          <w:color w:val="000000" w:themeColor="text1"/>
          <w:sz w:val="16"/>
          <w:szCs w:val="28"/>
          <w:lang w:val="en-GB"/>
        </w:rPr>
        <w:t xml:space="preserve">increased by one day from </w:t>
      </w:r>
      <w:r w:rsidR="007A7953" w:rsidRPr="001E7A2C">
        <w:rPr>
          <w:color w:val="000000" w:themeColor="text1"/>
          <w:sz w:val="16"/>
          <w:szCs w:val="28"/>
          <w:lang w:val="en-GB"/>
        </w:rPr>
        <w:t xml:space="preserve">27.7 days to 28.7 days </w:t>
      </w:r>
      <w:r w:rsidR="007A7953" w:rsidRPr="001E7A2C">
        <w:rPr>
          <w:b/>
          <w:color w:val="000000" w:themeColor="text1"/>
          <w:sz w:val="16"/>
          <w:szCs w:val="28"/>
          <w:lang w:val="en-GB"/>
        </w:rPr>
        <w:t>(Chart 7)</w:t>
      </w:r>
      <w:r w:rsidR="007A7953" w:rsidRPr="001E7A2C">
        <w:rPr>
          <w:color w:val="000000" w:themeColor="text1"/>
          <w:sz w:val="16"/>
          <w:szCs w:val="28"/>
          <w:lang w:val="en-GB"/>
        </w:rPr>
        <w:t xml:space="preserve"> and remains one of the sho</w:t>
      </w:r>
      <w:r w:rsidR="00523EA9" w:rsidRPr="001E7A2C">
        <w:rPr>
          <w:color w:val="000000" w:themeColor="text1"/>
          <w:sz w:val="16"/>
          <w:szCs w:val="28"/>
          <w:lang w:val="en-GB"/>
        </w:rPr>
        <w:t xml:space="preserve">rtest </w:t>
      </w:r>
      <w:r w:rsidR="002422E4" w:rsidRPr="001E7A2C">
        <w:rPr>
          <w:color w:val="000000" w:themeColor="text1"/>
          <w:sz w:val="16"/>
          <w:szCs w:val="28"/>
          <w:lang w:val="en-GB"/>
        </w:rPr>
        <w:t xml:space="preserve">average </w:t>
      </w:r>
      <w:r w:rsidR="00694A19" w:rsidRPr="001E7A2C">
        <w:rPr>
          <w:color w:val="000000" w:themeColor="text1"/>
          <w:sz w:val="16"/>
          <w:szCs w:val="28"/>
          <w:lang w:val="en-GB"/>
        </w:rPr>
        <w:t>delay</w:t>
      </w:r>
      <w:r w:rsidR="007A7953" w:rsidRPr="001E7A2C">
        <w:rPr>
          <w:color w:val="000000" w:themeColor="text1"/>
          <w:sz w:val="16"/>
          <w:szCs w:val="28"/>
          <w:lang w:val="en-GB"/>
        </w:rPr>
        <w:t xml:space="preserve"> times</w:t>
      </w:r>
      <w:r w:rsidR="00523EA9" w:rsidRPr="001E7A2C">
        <w:rPr>
          <w:color w:val="000000" w:themeColor="text1"/>
          <w:sz w:val="16"/>
          <w:szCs w:val="28"/>
          <w:lang w:val="en-GB"/>
        </w:rPr>
        <w:t xml:space="preserve"> in our time</w:t>
      </w:r>
      <w:r w:rsidR="00694A19" w:rsidRPr="001E7A2C">
        <w:rPr>
          <w:color w:val="000000" w:themeColor="text1"/>
          <w:sz w:val="16"/>
          <w:szCs w:val="28"/>
          <w:lang w:val="en-GB"/>
        </w:rPr>
        <w:t xml:space="preserve"> </w:t>
      </w:r>
      <w:r w:rsidR="00523EA9" w:rsidRPr="001E7A2C">
        <w:rPr>
          <w:color w:val="000000" w:themeColor="text1"/>
          <w:sz w:val="16"/>
          <w:szCs w:val="28"/>
          <w:lang w:val="en-GB"/>
        </w:rPr>
        <w:t>series</w:t>
      </w:r>
      <w:r w:rsidR="00523EA9" w:rsidRPr="001E7A2C">
        <w:rPr>
          <w:rStyle w:val="Funotenzeichen"/>
          <w:color w:val="000000" w:themeColor="text1"/>
          <w:sz w:val="16"/>
          <w:szCs w:val="28"/>
          <w:lang w:val="en-GB"/>
        </w:rPr>
        <w:footnoteReference w:id="10"/>
      </w:r>
      <w:r w:rsidR="00523EA9" w:rsidRPr="001E7A2C">
        <w:rPr>
          <w:color w:val="000000" w:themeColor="text1"/>
          <w:sz w:val="16"/>
          <w:szCs w:val="28"/>
          <w:lang w:val="en-GB"/>
        </w:rPr>
        <w:t>.</w:t>
      </w:r>
      <w:r w:rsidR="00BB6C80" w:rsidRPr="001E7A2C">
        <w:rPr>
          <w:color w:val="000000" w:themeColor="text1"/>
          <w:sz w:val="16"/>
          <w:szCs w:val="28"/>
          <w:lang w:val="en-GB"/>
        </w:rPr>
        <w:t xml:space="preserve"> </w:t>
      </w:r>
      <w:r w:rsidR="00311879" w:rsidRPr="001E7A2C">
        <w:rPr>
          <w:color w:val="000000" w:themeColor="text1"/>
          <w:sz w:val="16"/>
          <w:szCs w:val="28"/>
          <w:lang w:val="en-GB"/>
        </w:rPr>
        <w:t>Most</w:t>
      </w:r>
      <w:r w:rsidR="002422E4" w:rsidRPr="001E7A2C">
        <w:rPr>
          <w:color w:val="000000" w:themeColor="text1"/>
          <w:sz w:val="16"/>
          <w:szCs w:val="28"/>
          <w:lang w:val="en-GB"/>
        </w:rPr>
        <w:t xml:space="preserve"> sectors</w:t>
      </w:r>
      <w:r w:rsidR="00B76D6A">
        <w:rPr>
          <w:color w:val="000000" w:themeColor="text1"/>
          <w:sz w:val="16"/>
          <w:szCs w:val="28"/>
          <w:lang w:val="en-GB"/>
        </w:rPr>
        <w:t>-</w:t>
      </w:r>
      <w:r w:rsidR="002422E4" w:rsidRPr="001E7A2C">
        <w:rPr>
          <w:color w:val="000000" w:themeColor="text1"/>
          <w:sz w:val="16"/>
          <w:szCs w:val="28"/>
          <w:lang w:val="en-GB"/>
        </w:rPr>
        <w:t xml:space="preserve"> excluding</w:t>
      </w:r>
      <w:r w:rsidR="00BB6C80" w:rsidRPr="001E7A2C">
        <w:rPr>
          <w:color w:val="000000" w:themeColor="text1"/>
          <w:sz w:val="16"/>
          <w:szCs w:val="28"/>
          <w:lang w:val="en-GB"/>
        </w:rPr>
        <w:t xml:space="preserve"> </w:t>
      </w:r>
      <w:r w:rsidR="00311879" w:rsidRPr="001E7A2C">
        <w:rPr>
          <w:color w:val="000000" w:themeColor="text1"/>
          <w:sz w:val="16"/>
          <w:szCs w:val="28"/>
          <w:lang w:val="en-GB"/>
        </w:rPr>
        <w:t xml:space="preserve">paper-packing, </w:t>
      </w:r>
      <w:proofErr w:type="spellStart"/>
      <w:r w:rsidR="00311879" w:rsidRPr="001E7A2C">
        <w:rPr>
          <w:color w:val="000000" w:themeColor="text1"/>
          <w:sz w:val="16"/>
          <w:szCs w:val="28"/>
          <w:lang w:val="en-GB"/>
        </w:rPr>
        <w:t>agri</w:t>
      </w:r>
      <w:proofErr w:type="spellEnd"/>
      <w:r w:rsidR="00311879" w:rsidRPr="001E7A2C">
        <w:rPr>
          <w:color w:val="000000" w:themeColor="text1"/>
          <w:sz w:val="16"/>
          <w:szCs w:val="28"/>
          <w:lang w:val="en-GB"/>
        </w:rPr>
        <w:t xml:space="preserve">-food, </w:t>
      </w:r>
      <w:r w:rsidR="00BB6C80" w:rsidRPr="001E7A2C">
        <w:rPr>
          <w:color w:val="000000" w:themeColor="text1"/>
          <w:sz w:val="16"/>
          <w:szCs w:val="28"/>
          <w:lang w:val="en-GB"/>
        </w:rPr>
        <w:t xml:space="preserve">machinery and </w:t>
      </w:r>
      <w:r w:rsidR="00311879" w:rsidRPr="001E7A2C">
        <w:rPr>
          <w:color w:val="000000" w:themeColor="text1"/>
          <w:sz w:val="16"/>
          <w:szCs w:val="28"/>
          <w:lang w:val="en-GB"/>
        </w:rPr>
        <w:t>automotive</w:t>
      </w:r>
      <w:r w:rsidR="00B76D6A">
        <w:rPr>
          <w:color w:val="000000" w:themeColor="text1"/>
          <w:sz w:val="16"/>
          <w:szCs w:val="28"/>
          <w:lang w:val="en-GB"/>
        </w:rPr>
        <w:t xml:space="preserve"> -</w:t>
      </w:r>
      <w:r w:rsidR="00BB6C80" w:rsidRPr="001E7A2C">
        <w:rPr>
          <w:color w:val="000000" w:themeColor="text1"/>
          <w:sz w:val="16"/>
          <w:szCs w:val="28"/>
          <w:lang w:val="en-GB"/>
        </w:rPr>
        <w:t xml:space="preserve"> reported a</w:t>
      </w:r>
      <w:r w:rsidR="00311879" w:rsidRPr="001E7A2C">
        <w:rPr>
          <w:color w:val="000000" w:themeColor="text1"/>
          <w:sz w:val="16"/>
          <w:szCs w:val="28"/>
          <w:lang w:val="en-GB"/>
        </w:rPr>
        <w:t>n increase</w:t>
      </w:r>
      <w:r w:rsidR="00BB6C80" w:rsidRPr="001E7A2C">
        <w:rPr>
          <w:color w:val="000000" w:themeColor="text1"/>
          <w:sz w:val="16"/>
          <w:szCs w:val="28"/>
          <w:lang w:val="en-GB"/>
        </w:rPr>
        <w:t xml:space="preserve"> in the</w:t>
      </w:r>
      <w:r w:rsidR="00694A19" w:rsidRPr="001E7A2C">
        <w:rPr>
          <w:color w:val="000000" w:themeColor="text1"/>
          <w:sz w:val="16"/>
          <w:szCs w:val="28"/>
          <w:lang w:val="en-GB"/>
        </w:rPr>
        <w:t xml:space="preserve"> duration of</w:t>
      </w:r>
      <w:r w:rsidR="00BB6C80" w:rsidRPr="001E7A2C">
        <w:rPr>
          <w:color w:val="000000" w:themeColor="text1"/>
          <w:sz w:val="16"/>
          <w:szCs w:val="28"/>
          <w:lang w:val="en-GB"/>
        </w:rPr>
        <w:t xml:space="preserve"> payment delay</w:t>
      </w:r>
      <w:r w:rsidR="00694A19" w:rsidRPr="001E7A2C">
        <w:rPr>
          <w:color w:val="000000" w:themeColor="text1"/>
          <w:sz w:val="16"/>
          <w:szCs w:val="28"/>
          <w:lang w:val="en-GB"/>
        </w:rPr>
        <w:t>s</w:t>
      </w:r>
      <w:r w:rsidR="00BB6C80" w:rsidRPr="001E7A2C">
        <w:rPr>
          <w:color w:val="000000" w:themeColor="text1"/>
          <w:sz w:val="16"/>
          <w:szCs w:val="28"/>
          <w:lang w:val="en-GB"/>
        </w:rPr>
        <w:t xml:space="preserve">. The strongest </w:t>
      </w:r>
      <w:r w:rsidR="00311879" w:rsidRPr="001E7A2C">
        <w:rPr>
          <w:color w:val="000000" w:themeColor="text1"/>
          <w:sz w:val="16"/>
          <w:szCs w:val="28"/>
          <w:lang w:val="en-GB"/>
        </w:rPr>
        <w:t>increase</w:t>
      </w:r>
      <w:r w:rsidR="00694A19" w:rsidRPr="001E7A2C">
        <w:rPr>
          <w:color w:val="000000" w:themeColor="text1"/>
          <w:sz w:val="16"/>
          <w:szCs w:val="28"/>
          <w:lang w:val="en-GB"/>
        </w:rPr>
        <w:t xml:space="preserve"> </w:t>
      </w:r>
      <w:r w:rsidR="00311879" w:rsidRPr="001E7A2C">
        <w:rPr>
          <w:color w:val="000000" w:themeColor="text1"/>
          <w:sz w:val="16"/>
          <w:szCs w:val="28"/>
          <w:lang w:val="en-GB"/>
        </w:rPr>
        <w:t>was</w:t>
      </w:r>
      <w:r w:rsidR="00BB6C80" w:rsidRPr="001E7A2C">
        <w:rPr>
          <w:color w:val="000000" w:themeColor="text1"/>
          <w:sz w:val="16"/>
          <w:szCs w:val="28"/>
          <w:lang w:val="en-GB"/>
        </w:rPr>
        <w:t xml:space="preserve"> </w:t>
      </w:r>
      <w:r w:rsidR="00B51B31">
        <w:rPr>
          <w:color w:val="000000" w:themeColor="text1"/>
          <w:sz w:val="16"/>
          <w:szCs w:val="28"/>
          <w:lang w:val="en-GB"/>
        </w:rPr>
        <w:t xml:space="preserve">reported </w:t>
      </w:r>
      <w:r w:rsidR="00BB6C80" w:rsidRPr="001E7A2C">
        <w:rPr>
          <w:color w:val="000000" w:themeColor="text1"/>
          <w:sz w:val="16"/>
          <w:szCs w:val="28"/>
          <w:lang w:val="en-GB"/>
        </w:rPr>
        <w:t xml:space="preserve">in </w:t>
      </w:r>
      <w:r w:rsidR="00B51B31">
        <w:rPr>
          <w:color w:val="000000" w:themeColor="text1"/>
          <w:sz w:val="16"/>
          <w:szCs w:val="28"/>
          <w:lang w:val="en-GB"/>
        </w:rPr>
        <w:t>ICT (+</w:t>
      </w:r>
      <w:r w:rsidR="00311879" w:rsidRPr="001E7A2C">
        <w:rPr>
          <w:color w:val="000000" w:themeColor="text1"/>
          <w:sz w:val="16"/>
          <w:szCs w:val="28"/>
          <w:lang w:val="en-GB"/>
        </w:rPr>
        <w:t>11.5</w:t>
      </w:r>
      <w:r w:rsidR="00BB6C80" w:rsidRPr="001E7A2C">
        <w:rPr>
          <w:color w:val="000000" w:themeColor="text1"/>
          <w:sz w:val="16"/>
          <w:szCs w:val="28"/>
          <w:lang w:val="en-GB"/>
        </w:rPr>
        <w:t xml:space="preserve"> days). </w:t>
      </w:r>
      <w:r w:rsidR="00311879" w:rsidRPr="001E7A2C">
        <w:rPr>
          <w:color w:val="000000" w:themeColor="text1"/>
          <w:sz w:val="16"/>
          <w:szCs w:val="28"/>
          <w:lang w:val="en-GB"/>
        </w:rPr>
        <w:t xml:space="preserve">However, all of these companies come from a relatively low level. </w:t>
      </w:r>
      <w:r w:rsidR="00694A19" w:rsidRPr="001E7A2C">
        <w:rPr>
          <w:color w:val="000000" w:themeColor="text1"/>
          <w:sz w:val="16"/>
          <w:szCs w:val="28"/>
          <w:lang w:val="en-GB"/>
        </w:rPr>
        <w:t xml:space="preserve">Companies operating in the </w:t>
      </w:r>
      <w:r w:rsidR="001E7A2C" w:rsidRPr="001E7A2C">
        <w:rPr>
          <w:color w:val="000000" w:themeColor="text1"/>
          <w:sz w:val="16"/>
          <w:szCs w:val="28"/>
          <w:lang w:val="en-GB"/>
        </w:rPr>
        <w:t xml:space="preserve">paper-packing sector have </w:t>
      </w:r>
      <w:r w:rsidR="00694A19" w:rsidRPr="001E7A2C">
        <w:rPr>
          <w:color w:val="000000" w:themeColor="text1"/>
          <w:sz w:val="16"/>
          <w:szCs w:val="28"/>
          <w:lang w:val="en-GB"/>
        </w:rPr>
        <w:t xml:space="preserve">now </w:t>
      </w:r>
      <w:r w:rsidR="00BB6C80" w:rsidRPr="001E7A2C">
        <w:rPr>
          <w:color w:val="000000" w:themeColor="text1"/>
          <w:sz w:val="16"/>
          <w:szCs w:val="28"/>
          <w:lang w:val="en-GB"/>
        </w:rPr>
        <w:t>the shortest wait</w:t>
      </w:r>
      <w:r w:rsidR="002422E4" w:rsidRPr="001E7A2C">
        <w:rPr>
          <w:color w:val="000000" w:themeColor="text1"/>
          <w:sz w:val="16"/>
          <w:szCs w:val="28"/>
          <w:lang w:val="en-GB"/>
        </w:rPr>
        <w:t>ing</w:t>
      </w:r>
      <w:r w:rsidR="00694A19" w:rsidRPr="001E7A2C">
        <w:rPr>
          <w:color w:val="000000" w:themeColor="text1"/>
          <w:sz w:val="16"/>
          <w:szCs w:val="28"/>
          <w:lang w:val="en-GB"/>
        </w:rPr>
        <w:t xml:space="preserve"> </w:t>
      </w:r>
      <w:r w:rsidR="00BB6C80" w:rsidRPr="001E7A2C">
        <w:rPr>
          <w:color w:val="000000" w:themeColor="text1"/>
          <w:sz w:val="16"/>
          <w:szCs w:val="28"/>
          <w:lang w:val="en-GB"/>
        </w:rPr>
        <w:t xml:space="preserve">time with </w:t>
      </w:r>
      <w:r w:rsidR="00694A19" w:rsidRPr="001E7A2C">
        <w:rPr>
          <w:color w:val="000000" w:themeColor="text1"/>
          <w:sz w:val="16"/>
          <w:szCs w:val="28"/>
          <w:lang w:val="en-GB"/>
        </w:rPr>
        <w:t xml:space="preserve">an </w:t>
      </w:r>
      <w:r w:rsidR="00BB6C80" w:rsidRPr="001E7A2C">
        <w:rPr>
          <w:color w:val="000000" w:themeColor="text1"/>
          <w:sz w:val="16"/>
          <w:szCs w:val="28"/>
          <w:lang w:val="en-GB"/>
        </w:rPr>
        <w:t xml:space="preserve">average </w:t>
      </w:r>
      <w:r w:rsidR="00694A19" w:rsidRPr="001E7A2C">
        <w:rPr>
          <w:color w:val="000000" w:themeColor="text1"/>
          <w:sz w:val="16"/>
          <w:szCs w:val="28"/>
          <w:lang w:val="en-GB"/>
        </w:rPr>
        <w:t xml:space="preserve">of </w:t>
      </w:r>
      <w:r w:rsidR="001E7A2C" w:rsidRPr="001E7A2C">
        <w:rPr>
          <w:color w:val="000000" w:themeColor="text1"/>
          <w:sz w:val="16"/>
          <w:szCs w:val="28"/>
          <w:lang w:val="en-GB"/>
        </w:rPr>
        <w:t>18</w:t>
      </w:r>
      <w:r w:rsidR="00BB6C80" w:rsidRPr="001E7A2C">
        <w:rPr>
          <w:color w:val="000000" w:themeColor="text1"/>
          <w:sz w:val="16"/>
          <w:szCs w:val="28"/>
          <w:lang w:val="en-GB"/>
        </w:rPr>
        <w:t>.</w:t>
      </w:r>
      <w:r w:rsidR="001E7A2C" w:rsidRPr="001E7A2C">
        <w:rPr>
          <w:color w:val="000000" w:themeColor="text1"/>
          <w:sz w:val="16"/>
          <w:szCs w:val="28"/>
          <w:lang w:val="en-GB"/>
        </w:rPr>
        <w:t>4</w:t>
      </w:r>
      <w:r w:rsidR="00BB6C80" w:rsidRPr="001E7A2C">
        <w:rPr>
          <w:color w:val="000000" w:themeColor="text1"/>
          <w:sz w:val="16"/>
          <w:szCs w:val="28"/>
          <w:lang w:val="en-GB"/>
        </w:rPr>
        <w:t xml:space="preserve"> days, while companies in the </w:t>
      </w:r>
      <w:r w:rsidR="001E7A2C" w:rsidRPr="001E7A2C">
        <w:rPr>
          <w:color w:val="000000" w:themeColor="text1"/>
          <w:sz w:val="16"/>
          <w:szCs w:val="28"/>
          <w:lang w:val="en-GB"/>
        </w:rPr>
        <w:t>finance sector need the most patience with an average waiting time of 35 days (which is still below the high</w:t>
      </w:r>
      <w:r w:rsidR="00B51B31">
        <w:rPr>
          <w:color w:val="000000" w:themeColor="text1"/>
          <w:sz w:val="16"/>
          <w:szCs w:val="28"/>
          <w:lang w:val="en-GB"/>
        </w:rPr>
        <w:t>est level</w:t>
      </w:r>
      <w:r w:rsidR="001E7A2C" w:rsidRPr="001E7A2C">
        <w:rPr>
          <w:color w:val="000000" w:themeColor="text1"/>
          <w:sz w:val="16"/>
          <w:szCs w:val="28"/>
          <w:lang w:val="en-GB"/>
        </w:rPr>
        <w:t xml:space="preserve"> of 2021 with 35.8 days</w:t>
      </w:r>
      <w:r w:rsidR="00B51B31" w:rsidRPr="00B51B31">
        <w:rPr>
          <w:color w:val="000000" w:themeColor="text1"/>
          <w:sz w:val="16"/>
          <w:szCs w:val="28"/>
          <w:lang w:val="en-GB"/>
        </w:rPr>
        <w:t xml:space="preserve"> </w:t>
      </w:r>
      <w:r w:rsidR="00B51B31">
        <w:rPr>
          <w:color w:val="000000" w:themeColor="text1"/>
          <w:sz w:val="16"/>
          <w:szCs w:val="28"/>
          <w:lang w:val="en-GB"/>
        </w:rPr>
        <w:t>in t</w:t>
      </w:r>
      <w:r w:rsidR="00B51B31" w:rsidRPr="001E7A2C">
        <w:rPr>
          <w:color w:val="000000" w:themeColor="text1"/>
          <w:sz w:val="16"/>
          <w:szCs w:val="28"/>
          <w:lang w:val="en-GB"/>
        </w:rPr>
        <w:t>he machinery sector</w:t>
      </w:r>
      <w:r w:rsidR="001E7A2C" w:rsidRPr="001E7A2C">
        <w:rPr>
          <w:color w:val="000000" w:themeColor="text1"/>
          <w:sz w:val="16"/>
          <w:szCs w:val="28"/>
          <w:lang w:val="en-GB"/>
        </w:rPr>
        <w:t xml:space="preserve">). </w:t>
      </w:r>
      <w:r w:rsidR="00B76D6A">
        <w:rPr>
          <w:color w:val="000000" w:themeColor="text1"/>
          <w:sz w:val="16"/>
          <w:szCs w:val="28"/>
          <w:lang w:val="en-GB"/>
        </w:rPr>
        <w:t>A</w:t>
      </w:r>
      <w:r w:rsidR="001E7A2C" w:rsidRPr="001E7A2C">
        <w:rPr>
          <w:color w:val="000000" w:themeColor="text1"/>
          <w:sz w:val="16"/>
          <w:szCs w:val="28"/>
          <w:lang w:val="en-GB"/>
        </w:rPr>
        <w:t>lthough we see increases in the waiting time this is still short in historical perspective,</w:t>
      </w:r>
      <w:r w:rsidR="00BB6C80" w:rsidRPr="001E7A2C">
        <w:rPr>
          <w:color w:val="000000" w:themeColor="text1"/>
          <w:sz w:val="16"/>
          <w:szCs w:val="28"/>
          <w:lang w:val="en-GB"/>
        </w:rPr>
        <w:t xml:space="preserve"> given that in </w:t>
      </w:r>
      <w:r w:rsidR="00B76D6A">
        <w:rPr>
          <w:color w:val="000000" w:themeColor="text1"/>
          <w:sz w:val="16"/>
          <w:szCs w:val="28"/>
          <w:lang w:val="en-GB"/>
        </w:rPr>
        <w:t xml:space="preserve">2016 and </w:t>
      </w:r>
      <w:r w:rsidR="00BB6C80" w:rsidRPr="001E7A2C">
        <w:rPr>
          <w:color w:val="000000" w:themeColor="text1"/>
          <w:sz w:val="16"/>
          <w:szCs w:val="28"/>
          <w:lang w:val="en-GB"/>
        </w:rPr>
        <w:t>2017</w:t>
      </w:r>
      <w:r w:rsidR="00BB040C">
        <w:rPr>
          <w:color w:val="000000" w:themeColor="text1"/>
          <w:sz w:val="16"/>
          <w:szCs w:val="28"/>
          <w:lang w:val="en-GB"/>
        </w:rPr>
        <w:t xml:space="preserve"> </w:t>
      </w:r>
      <w:r w:rsidR="00687594">
        <w:rPr>
          <w:color w:val="000000" w:themeColor="text1"/>
          <w:sz w:val="16"/>
          <w:szCs w:val="28"/>
          <w:lang w:val="en-GB"/>
        </w:rPr>
        <w:t xml:space="preserve">surveyed </w:t>
      </w:r>
      <w:r w:rsidR="00BB6C80" w:rsidRPr="001E7A2C">
        <w:rPr>
          <w:color w:val="000000" w:themeColor="text1"/>
          <w:sz w:val="16"/>
          <w:szCs w:val="28"/>
          <w:lang w:val="en-GB"/>
        </w:rPr>
        <w:t>companies</w:t>
      </w:r>
      <w:r w:rsidR="00A66505" w:rsidRPr="001E7A2C">
        <w:rPr>
          <w:color w:val="000000" w:themeColor="text1"/>
          <w:sz w:val="16"/>
          <w:szCs w:val="28"/>
          <w:lang w:val="en-GB"/>
        </w:rPr>
        <w:t xml:space="preserve"> </w:t>
      </w:r>
      <w:r w:rsidR="00BB6C80" w:rsidRPr="001E7A2C">
        <w:rPr>
          <w:color w:val="000000" w:themeColor="text1"/>
          <w:sz w:val="16"/>
          <w:szCs w:val="28"/>
          <w:lang w:val="en-GB"/>
        </w:rPr>
        <w:t>had to wait</w:t>
      </w:r>
      <w:r w:rsidR="002422E4" w:rsidRPr="001E7A2C">
        <w:rPr>
          <w:color w:val="000000" w:themeColor="text1"/>
          <w:sz w:val="16"/>
          <w:szCs w:val="28"/>
          <w:lang w:val="en-GB"/>
        </w:rPr>
        <w:t xml:space="preserve"> 41 days</w:t>
      </w:r>
      <w:r w:rsidR="00BB6C80" w:rsidRPr="001E7A2C">
        <w:rPr>
          <w:color w:val="000000" w:themeColor="text1"/>
          <w:sz w:val="16"/>
          <w:szCs w:val="28"/>
          <w:lang w:val="en-GB"/>
        </w:rPr>
        <w:t xml:space="preserve"> on </w:t>
      </w:r>
      <w:r w:rsidR="00BB6C80" w:rsidRPr="00523A22">
        <w:rPr>
          <w:color w:val="000000" w:themeColor="text1"/>
          <w:sz w:val="16"/>
          <w:szCs w:val="28"/>
          <w:lang w:val="en-GB"/>
        </w:rPr>
        <w:t xml:space="preserve">average </w:t>
      </w:r>
      <w:r w:rsidR="00861003" w:rsidRPr="00861003">
        <w:rPr>
          <w:color w:val="000000" w:themeColor="text1"/>
          <w:sz w:val="16"/>
          <w:szCs w:val="28"/>
          <w:lang w:val="en-GB"/>
        </w:rPr>
        <w:t xml:space="preserve">after the due date </w:t>
      </w:r>
      <w:r w:rsidR="00BB6C80" w:rsidRPr="00523A22">
        <w:rPr>
          <w:color w:val="000000" w:themeColor="text1"/>
          <w:sz w:val="16"/>
          <w:szCs w:val="28"/>
          <w:lang w:val="en-GB"/>
        </w:rPr>
        <w:t>for the payment of their invoices.</w:t>
      </w:r>
    </w:p>
    <w:p w14:paraId="15CF4FCD" w14:textId="4AFEB018" w:rsidR="00287BB3" w:rsidRPr="007A3115" w:rsidRDefault="00694A19" w:rsidP="00694A19">
      <w:pPr>
        <w:pStyle w:val="Listenabsatz"/>
        <w:numPr>
          <w:ilvl w:val="0"/>
          <w:numId w:val="1"/>
        </w:numPr>
        <w:spacing w:line="240" w:lineRule="auto"/>
        <w:jc w:val="both"/>
        <w:rPr>
          <w:color w:val="000000" w:themeColor="text1"/>
          <w:sz w:val="16"/>
          <w:szCs w:val="28"/>
          <w:lang w:val="en-GB"/>
        </w:rPr>
      </w:pPr>
      <w:r w:rsidRPr="00523A22">
        <w:rPr>
          <w:color w:val="000000" w:themeColor="text1"/>
          <w:sz w:val="16"/>
          <w:szCs w:val="28"/>
          <w:lang w:val="en-GB"/>
        </w:rPr>
        <w:t xml:space="preserve">Adding </w:t>
      </w:r>
      <w:r w:rsidR="00FF7DBF" w:rsidRPr="00523A22">
        <w:rPr>
          <w:color w:val="000000" w:themeColor="text1"/>
          <w:sz w:val="16"/>
          <w:szCs w:val="28"/>
          <w:lang w:val="en-GB"/>
        </w:rPr>
        <w:t xml:space="preserve">payment terms (if </w:t>
      </w:r>
      <w:r w:rsidRPr="00523A22">
        <w:rPr>
          <w:color w:val="000000" w:themeColor="text1"/>
          <w:sz w:val="16"/>
          <w:szCs w:val="28"/>
          <w:lang w:val="en-GB"/>
        </w:rPr>
        <w:t>any</w:t>
      </w:r>
      <w:r w:rsidR="00FF7DBF" w:rsidRPr="00523A22">
        <w:rPr>
          <w:color w:val="000000" w:themeColor="text1"/>
          <w:sz w:val="16"/>
          <w:szCs w:val="28"/>
          <w:lang w:val="en-GB"/>
        </w:rPr>
        <w:t xml:space="preserve">) </w:t>
      </w:r>
      <w:r w:rsidR="003F3483" w:rsidRPr="00523A22">
        <w:rPr>
          <w:color w:val="000000" w:themeColor="text1"/>
          <w:sz w:val="16"/>
          <w:szCs w:val="28"/>
          <w:lang w:val="en-GB"/>
        </w:rPr>
        <w:t xml:space="preserve">to </w:t>
      </w:r>
      <w:r w:rsidR="00FF7DBF" w:rsidRPr="00523A22">
        <w:rPr>
          <w:color w:val="000000" w:themeColor="text1"/>
          <w:sz w:val="16"/>
          <w:szCs w:val="28"/>
          <w:lang w:val="en-GB"/>
        </w:rPr>
        <w:t>payment delay</w:t>
      </w:r>
      <w:r w:rsidRPr="00523A22">
        <w:rPr>
          <w:color w:val="000000" w:themeColor="text1"/>
          <w:sz w:val="16"/>
          <w:szCs w:val="28"/>
          <w:lang w:val="en-GB"/>
        </w:rPr>
        <w:t>s indicates</w:t>
      </w:r>
      <w:r w:rsidR="00FF7DBF" w:rsidRPr="00523A22">
        <w:rPr>
          <w:color w:val="000000" w:themeColor="text1"/>
          <w:sz w:val="16"/>
          <w:szCs w:val="28"/>
          <w:lang w:val="en-GB"/>
        </w:rPr>
        <w:t xml:space="preserve"> the total wait</w:t>
      </w:r>
      <w:r w:rsidR="003F3483" w:rsidRPr="00523A22">
        <w:rPr>
          <w:color w:val="000000" w:themeColor="text1"/>
          <w:sz w:val="16"/>
          <w:szCs w:val="28"/>
          <w:lang w:val="en-GB"/>
        </w:rPr>
        <w:t>ing</w:t>
      </w:r>
      <w:r w:rsidR="00FF7DBF" w:rsidRPr="00523A22">
        <w:rPr>
          <w:color w:val="000000" w:themeColor="text1"/>
          <w:sz w:val="16"/>
          <w:szCs w:val="28"/>
          <w:lang w:val="en-GB"/>
        </w:rPr>
        <w:t xml:space="preserve"> time between </w:t>
      </w:r>
      <w:r w:rsidRPr="00523A22">
        <w:rPr>
          <w:color w:val="000000" w:themeColor="text1"/>
          <w:sz w:val="16"/>
          <w:szCs w:val="28"/>
          <w:lang w:val="en-GB"/>
        </w:rPr>
        <w:t>the</w:t>
      </w:r>
      <w:r w:rsidR="00FF7DBF" w:rsidRPr="00523A22">
        <w:rPr>
          <w:color w:val="000000" w:themeColor="text1"/>
          <w:sz w:val="16"/>
          <w:szCs w:val="28"/>
          <w:lang w:val="en-GB"/>
        </w:rPr>
        <w:t xml:space="preserve"> purchase of a product and the </w:t>
      </w:r>
      <w:r w:rsidRPr="00523A22">
        <w:rPr>
          <w:color w:val="000000" w:themeColor="text1"/>
          <w:sz w:val="16"/>
          <w:szCs w:val="28"/>
          <w:lang w:val="en-GB"/>
        </w:rPr>
        <w:t xml:space="preserve">payment of </w:t>
      </w:r>
      <w:r w:rsidR="00FF7DBF" w:rsidRPr="00523A22">
        <w:rPr>
          <w:color w:val="000000" w:themeColor="text1"/>
          <w:sz w:val="16"/>
          <w:szCs w:val="28"/>
          <w:lang w:val="en-GB"/>
        </w:rPr>
        <w:t>the invoice. Th</w:t>
      </w:r>
      <w:r w:rsidRPr="00523A22">
        <w:rPr>
          <w:color w:val="000000" w:themeColor="text1"/>
          <w:sz w:val="16"/>
          <w:szCs w:val="28"/>
          <w:lang w:val="en-GB"/>
        </w:rPr>
        <w:t xml:space="preserve">is indicator – known as </w:t>
      </w:r>
      <w:r w:rsidR="009F59FB" w:rsidRPr="00523A22">
        <w:rPr>
          <w:color w:val="000000" w:themeColor="text1"/>
          <w:sz w:val="16"/>
          <w:szCs w:val="28"/>
          <w:lang w:val="en-GB"/>
        </w:rPr>
        <w:t>days sales outstanding (DSO)</w:t>
      </w:r>
      <w:r w:rsidRPr="00523A22">
        <w:rPr>
          <w:color w:val="000000" w:themeColor="text1"/>
          <w:sz w:val="16"/>
          <w:szCs w:val="28"/>
          <w:lang w:val="en-GB"/>
        </w:rPr>
        <w:t xml:space="preserve"> </w:t>
      </w:r>
      <w:r w:rsidR="00523A22" w:rsidRPr="00523A22">
        <w:rPr>
          <w:color w:val="000000" w:themeColor="text1"/>
          <w:sz w:val="16"/>
          <w:szCs w:val="28"/>
          <w:lang w:val="en-GB"/>
        </w:rPr>
        <w:t>–</w:t>
      </w:r>
      <w:r w:rsidR="00FF7DBF" w:rsidRPr="00523A22">
        <w:rPr>
          <w:color w:val="000000" w:themeColor="text1"/>
          <w:sz w:val="16"/>
          <w:szCs w:val="28"/>
          <w:lang w:val="en-GB"/>
        </w:rPr>
        <w:t xml:space="preserve"> </w:t>
      </w:r>
      <w:r w:rsidR="00523A22" w:rsidRPr="00523A22">
        <w:rPr>
          <w:color w:val="000000" w:themeColor="text1"/>
          <w:sz w:val="16"/>
          <w:szCs w:val="28"/>
          <w:lang w:val="en-GB"/>
        </w:rPr>
        <w:t>changed only marginally</w:t>
      </w:r>
      <w:r w:rsidR="00A16976" w:rsidRPr="00523A22">
        <w:rPr>
          <w:color w:val="000000" w:themeColor="text1"/>
          <w:sz w:val="16"/>
          <w:szCs w:val="28"/>
          <w:lang w:val="en-GB"/>
        </w:rPr>
        <w:t xml:space="preserve"> from 5</w:t>
      </w:r>
      <w:r w:rsidR="00523A22" w:rsidRPr="00523A22">
        <w:rPr>
          <w:color w:val="000000" w:themeColor="text1"/>
          <w:sz w:val="16"/>
          <w:szCs w:val="28"/>
          <w:lang w:val="en-GB"/>
        </w:rPr>
        <w:t>1</w:t>
      </w:r>
      <w:r w:rsidR="00A16976" w:rsidRPr="00523A22">
        <w:rPr>
          <w:color w:val="000000" w:themeColor="text1"/>
          <w:sz w:val="16"/>
          <w:szCs w:val="28"/>
          <w:lang w:val="en-GB"/>
        </w:rPr>
        <w:t>.</w:t>
      </w:r>
      <w:r w:rsidR="00523A22" w:rsidRPr="00523A22">
        <w:rPr>
          <w:color w:val="000000" w:themeColor="text1"/>
          <w:sz w:val="16"/>
          <w:szCs w:val="28"/>
          <w:lang w:val="en-GB"/>
        </w:rPr>
        <w:t>1</w:t>
      </w:r>
      <w:r w:rsidR="00FF7DBF" w:rsidRPr="00523A22">
        <w:rPr>
          <w:color w:val="000000" w:themeColor="text1"/>
          <w:sz w:val="16"/>
          <w:szCs w:val="28"/>
          <w:lang w:val="en-GB"/>
        </w:rPr>
        <w:t xml:space="preserve"> days in 202</w:t>
      </w:r>
      <w:r w:rsidR="00523A22" w:rsidRPr="00523A22">
        <w:rPr>
          <w:color w:val="000000" w:themeColor="text1"/>
          <w:sz w:val="16"/>
          <w:szCs w:val="28"/>
          <w:lang w:val="en-GB"/>
        </w:rPr>
        <w:t>1</w:t>
      </w:r>
      <w:r w:rsidR="00BB6C80" w:rsidRPr="00523A22">
        <w:rPr>
          <w:color w:val="000000" w:themeColor="text1"/>
          <w:sz w:val="16"/>
          <w:szCs w:val="28"/>
          <w:lang w:val="en-GB"/>
        </w:rPr>
        <w:t xml:space="preserve"> to </w:t>
      </w:r>
      <w:r w:rsidR="00BB6C80" w:rsidRPr="007A3115">
        <w:rPr>
          <w:color w:val="000000" w:themeColor="text1"/>
          <w:sz w:val="16"/>
          <w:szCs w:val="28"/>
          <w:lang w:val="en-GB"/>
        </w:rPr>
        <w:t>51</w:t>
      </w:r>
      <w:r w:rsidR="00523A22" w:rsidRPr="007A3115">
        <w:rPr>
          <w:color w:val="000000" w:themeColor="text1"/>
          <w:sz w:val="16"/>
          <w:szCs w:val="28"/>
          <w:lang w:val="en-GB"/>
        </w:rPr>
        <w:t>.4</w:t>
      </w:r>
      <w:r w:rsidR="00BB6C80" w:rsidRPr="007A3115">
        <w:rPr>
          <w:color w:val="000000" w:themeColor="text1"/>
          <w:sz w:val="16"/>
          <w:szCs w:val="28"/>
          <w:lang w:val="en-GB"/>
        </w:rPr>
        <w:t xml:space="preserve"> days in 202</w:t>
      </w:r>
      <w:r w:rsidR="00523A22" w:rsidRPr="007A3115">
        <w:rPr>
          <w:color w:val="000000" w:themeColor="text1"/>
          <w:sz w:val="16"/>
          <w:szCs w:val="28"/>
          <w:lang w:val="en-GB"/>
        </w:rPr>
        <w:t>2</w:t>
      </w:r>
      <w:r w:rsidR="00FF7DBF" w:rsidRPr="007A3115">
        <w:rPr>
          <w:color w:val="000000" w:themeColor="text1"/>
          <w:sz w:val="16"/>
          <w:szCs w:val="28"/>
          <w:lang w:val="en-GB"/>
        </w:rPr>
        <w:t xml:space="preserve">. </w:t>
      </w:r>
      <w:r w:rsidR="009F59FB" w:rsidRPr="007A3115">
        <w:rPr>
          <w:color w:val="000000" w:themeColor="text1"/>
          <w:sz w:val="16"/>
          <w:szCs w:val="28"/>
          <w:lang w:val="en-GB"/>
        </w:rPr>
        <w:t xml:space="preserve">The fastest </w:t>
      </w:r>
      <w:r w:rsidR="00DA6452" w:rsidRPr="007A3115">
        <w:rPr>
          <w:color w:val="000000" w:themeColor="text1"/>
          <w:sz w:val="16"/>
          <w:szCs w:val="28"/>
          <w:lang w:val="en-GB"/>
        </w:rPr>
        <w:t xml:space="preserve">paying </w:t>
      </w:r>
      <w:r w:rsidR="009F59FB" w:rsidRPr="007A3115">
        <w:rPr>
          <w:color w:val="000000" w:themeColor="text1"/>
          <w:sz w:val="16"/>
          <w:szCs w:val="28"/>
          <w:lang w:val="en-GB"/>
        </w:rPr>
        <w:t xml:space="preserve">sector </w:t>
      </w:r>
      <w:r w:rsidR="00523A22" w:rsidRPr="007A3115">
        <w:rPr>
          <w:color w:val="000000" w:themeColor="text1"/>
          <w:sz w:val="16"/>
          <w:szCs w:val="28"/>
          <w:lang w:val="en-GB"/>
        </w:rPr>
        <w:t>this year is transportation</w:t>
      </w:r>
      <w:r w:rsidR="00BB6C80" w:rsidRPr="007A3115">
        <w:rPr>
          <w:color w:val="000000" w:themeColor="text1"/>
          <w:sz w:val="16"/>
          <w:szCs w:val="28"/>
          <w:lang w:val="en-GB"/>
        </w:rPr>
        <w:t xml:space="preserve">, with a hypothetical </w:t>
      </w:r>
      <w:r w:rsidRPr="007A3115">
        <w:rPr>
          <w:color w:val="000000" w:themeColor="text1"/>
          <w:sz w:val="16"/>
          <w:szCs w:val="28"/>
          <w:lang w:val="en-GB"/>
        </w:rPr>
        <w:t xml:space="preserve">DSO </w:t>
      </w:r>
      <w:r w:rsidR="00BB6C80" w:rsidRPr="007A3115">
        <w:rPr>
          <w:color w:val="000000" w:themeColor="text1"/>
          <w:sz w:val="16"/>
          <w:szCs w:val="28"/>
          <w:lang w:val="en-GB"/>
        </w:rPr>
        <w:t>of 4</w:t>
      </w:r>
      <w:r w:rsidR="00523A22" w:rsidRPr="007A3115">
        <w:rPr>
          <w:color w:val="000000" w:themeColor="text1"/>
          <w:sz w:val="16"/>
          <w:szCs w:val="28"/>
          <w:lang w:val="en-GB"/>
        </w:rPr>
        <w:t>4 days in 2022</w:t>
      </w:r>
      <w:r w:rsidR="00BB6C80" w:rsidRPr="007A3115">
        <w:rPr>
          <w:color w:val="000000" w:themeColor="text1"/>
          <w:sz w:val="16"/>
          <w:szCs w:val="28"/>
          <w:lang w:val="en-GB"/>
        </w:rPr>
        <w:t>.</w:t>
      </w:r>
      <w:r w:rsidR="00FC00DF" w:rsidRPr="007A3115">
        <w:rPr>
          <w:color w:val="000000" w:themeColor="text1"/>
          <w:sz w:val="16"/>
          <w:szCs w:val="28"/>
          <w:lang w:val="en-GB"/>
        </w:rPr>
        <w:t xml:space="preserve"> </w:t>
      </w:r>
      <w:r w:rsidR="003F3483" w:rsidRPr="007A3115">
        <w:rPr>
          <w:color w:val="000000" w:themeColor="text1"/>
          <w:sz w:val="16"/>
          <w:szCs w:val="28"/>
          <w:lang w:val="en-GB"/>
        </w:rPr>
        <w:t xml:space="preserve">Textile-clothing </w:t>
      </w:r>
      <w:r w:rsidR="00523A22" w:rsidRPr="007A3115">
        <w:rPr>
          <w:color w:val="000000" w:themeColor="text1"/>
          <w:sz w:val="16"/>
          <w:szCs w:val="28"/>
          <w:lang w:val="en-GB"/>
        </w:rPr>
        <w:t>remained</w:t>
      </w:r>
      <w:r w:rsidR="003F3483" w:rsidRPr="007A3115">
        <w:rPr>
          <w:color w:val="000000" w:themeColor="text1"/>
          <w:sz w:val="16"/>
          <w:szCs w:val="28"/>
          <w:lang w:val="en-GB"/>
        </w:rPr>
        <w:t xml:space="preserve"> t</w:t>
      </w:r>
      <w:r w:rsidR="00FC00DF" w:rsidRPr="007A3115">
        <w:rPr>
          <w:color w:val="000000" w:themeColor="text1"/>
          <w:sz w:val="16"/>
          <w:szCs w:val="28"/>
          <w:lang w:val="en-GB"/>
        </w:rPr>
        <w:t>he sector with the longest</w:t>
      </w:r>
      <w:r w:rsidR="00A66505" w:rsidRPr="007A3115">
        <w:rPr>
          <w:color w:val="000000" w:themeColor="text1"/>
          <w:sz w:val="16"/>
          <w:szCs w:val="28"/>
          <w:lang w:val="en-GB"/>
        </w:rPr>
        <w:t xml:space="preserve"> </w:t>
      </w:r>
      <w:r w:rsidRPr="007A3115">
        <w:rPr>
          <w:color w:val="000000" w:themeColor="text1"/>
          <w:sz w:val="16"/>
          <w:szCs w:val="28"/>
          <w:lang w:val="en-GB"/>
        </w:rPr>
        <w:t>DSO</w:t>
      </w:r>
      <w:r w:rsidR="00523A22" w:rsidRPr="007A3115">
        <w:rPr>
          <w:color w:val="000000" w:themeColor="text1"/>
          <w:sz w:val="16"/>
          <w:szCs w:val="28"/>
          <w:lang w:val="en-GB"/>
        </w:rPr>
        <w:t>. Nevertheless</w:t>
      </w:r>
      <w:r w:rsidR="003A40E4">
        <w:rPr>
          <w:color w:val="000000" w:themeColor="text1"/>
          <w:sz w:val="16"/>
          <w:szCs w:val="28"/>
          <w:lang w:val="en-GB"/>
        </w:rPr>
        <w:t>, here the</w:t>
      </w:r>
      <w:r w:rsidR="00523A22" w:rsidRPr="007A3115">
        <w:rPr>
          <w:color w:val="000000" w:themeColor="text1"/>
          <w:sz w:val="16"/>
          <w:szCs w:val="28"/>
          <w:lang w:val="en-GB"/>
        </w:rPr>
        <w:t xml:space="preserve"> waiting time </w:t>
      </w:r>
      <w:r w:rsidR="003A40E4">
        <w:rPr>
          <w:color w:val="000000" w:themeColor="text1"/>
          <w:sz w:val="16"/>
          <w:szCs w:val="28"/>
          <w:lang w:val="en-GB"/>
        </w:rPr>
        <w:t xml:space="preserve">at least </w:t>
      </w:r>
      <w:r w:rsidR="00523A22" w:rsidRPr="007A3115">
        <w:rPr>
          <w:color w:val="000000" w:themeColor="text1"/>
          <w:sz w:val="16"/>
          <w:szCs w:val="28"/>
          <w:lang w:val="en-GB"/>
        </w:rPr>
        <w:t xml:space="preserve">decreased sharply from 77.7 days in 2021 to 66.1 days in 2022. </w:t>
      </w:r>
      <w:r w:rsidR="0085683A" w:rsidRPr="007A3115">
        <w:rPr>
          <w:color w:val="000000" w:themeColor="text1"/>
          <w:sz w:val="16"/>
          <w:szCs w:val="28"/>
          <w:lang w:val="en-GB"/>
        </w:rPr>
        <w:t xml:space="preserve"> </w:t>
      </w:r>
    </w:p>
    <w:p w14:paraId="54293D0F" w14:textId="120C7967" w:rsidR="007A3115" w:rsidRPr="00D57A00" w:rsidRDefault="00A16976" w:rsidP="00901C0A">
      <w:pPr>
        <w:pStyle w:val="Listenabsatz"/>
        <w:numPr>
          <w:ilvl w:val="0"/>
          <w:numId w:val="1"/>
        </w:numPr>
        <w:spacing w:line="240" w:lineRule="auto"/>
        <w:jc w:val="both"/>
        <w:rPr>
          <w:color w:val="000000" w:themeColor="text1"/>
          <w:sz w:val="16"/>
          <w:szCs w:val="28"/>
          <w:lang w:val="en-GB"/>
        </w:rPr>
      </w:pPr>
      <w:r w:rsidRPr="007A3115">
        <w:rPr>
          <w:color w:val="000000" w:themeColor="text1"/>
          <w:sz w:val="16"/>
          <w:szCs w:val="28"/>
          <w:lang w:val="en-GB"/>
        </w:rPr>
        <w:t>According to our survey results, the</w:t>
      </w:r>
      <w:r w:rsidR="00480C59" w:rsidRPr="007A3115">
        <w:rPr>
          <w:color w:val="000000" w:themeColor="text1"/>
          <w:sz w:val="16"/>
          <w:szCs w:val="28"/>
          <w:lang w:val="en-GB"/>
        </w:rPr>
        <w:t xml:space="preserve"> reasons </w:t>
      </w:r>
      <w:r w:rsidR="00D135BA" w:rsidRPr="007A3115">
        <w:rPr>
          <w:color w:val="000000" w:themeColor="text1"/>
          <w:sz w:val="16"/>
          <w:szCs w:val="28"/>
          <w:lang w:val="en-GB"/>
        </w:rPr>
        <w:t xml:space="preserve">behind </w:t>
      </w:r>
      <w:r w:rsidR="00867591" w:rsidRPr="007A3115">
        <w:rPr>
          <w:color w:val="000000" w:themeColor="text1"/>
          <w:sz w:val="16"/>
          <w:szCs w:val="28"/>
          <w:lang w:val="en-GB"/>
        </w:rPr>
        <w:t xml:space="preserve">payment </w:t>
      </w:r>
      <w:r w:rsidR="00480C59" w:rsidRPr="007A3115">
        <w:rPr>
          <w:color w:val="000000" w:themeColor="text1"/>
          <w:sz w:val="16"/>
          <w:szCs w:val="28"/>
          <w:lang w:val="en-GB"/>
        </w:rPr>
        <w:t>delay</w:t>
      </w:r>
      <w:r w:rsidR="008E4A25" w:rsidRPr="007A3115">
        <w:rPr>
          <w:color w:val="000000" w:themeColor="text1"/>
          <w:sz w:val="16"/>
          <w:szCs w:val="28"/>
          <w:lang w:val="en-GB"/>
        </w:rPr>
        <w:t>s</w:t>
      </w:r>
      <w:r w:rsidR="00480C59" w:rsidRPr="007A3115">
        <w:rPr>
          <w:color w:val="000000" w:themeColor="text1"/>
          <w:sz w:val="16"/>
          <w:szCs w:val="28"/>
          <w:lang w:val="en-GB"/>
        </w:rPr>
        <w:t xml:space="preserve"> </w:t>
      </w:r>
      <w:r w:rsidR="007A3115" w:rsidRPr="007A3115">
        <w:rPr>
          <w:color w:val="000000" w:themeColor="text1"/>
          <w:sz w:val="16"/>
          <w:szCs w:val="28"/>
          <w:lang w:val="en-GB"/>
        </w:rPr>
        <w:t>remained</w:t>
      </w:r>
      <w:r w:rsidR="00480C59" w:rsidRPr="007A3115">
        <w:rPr>
          <w:color w:val="000000" w:themeColor="text1"/>
          <w:sz w:val="16"/>
          <w:szCs w:val="28"/>
          <w:lang w:val="en-GB"/>
        </w:rPr>
        <w:t xml:space="preserve"> mainly </w:t>
      </w:r>
      <w:r w:rsidR="004B2C7F" w:rsidRPr="007A3115">
        <w:rPr>
          <w:color w:val="000000" w:themeColor="text1"/>
          <w:sz w:val="16"/>
          <w:szCs w:val="28"/>
          <w:lang w:val="en-GB"/>
        </w:rPr>
        <w:t xml:space="preserve">related to </w:t>
      </w:r>
      <w:r w:rsidR="00480C59" w:rsidRPr="007A3115">
        <w:rPr>
          <w:color w:val="000000" w:themeColor="text1"/>
          <w:sz w:val="16"/>
          <w:szCs w:val="28"/>
          <w:lang w:val="en-GB"/>
        </w:rPr>
        <w:t xml:space="preserve">financial difficulties. </w:t>
      </w:r>
      <w:r w:rsidR="007A3115" w:rsidRPr="007A3115">
        <w:rPr>
          <w:color w:val="000000" w:themeColor="text1"/>
          <w:sz w:val="16"/>
          <w:szCs w:val="28"/>
          <w:lang w:val="en-GB"/>
        </w:rPr>
        <w:t>However</w:t>
      </w:r>
      <w:r w:rsidR="003A40E4">
        <w:rPr>
          <w:color w:val="000000" w:themeColor="text1"/>
          <w:sz w:val="16"/>
          <w:szCs w:val="28"/>
          <w:lang w:val="en-GB"/>
        </w:rPr>
        <w:t>,</w:t>
      </w:r>
      <w:r w:rsidR="007A3115" w:rsidRPr="007A3115">
        <w:rPr>
          <w:color w:val="000000" w:themeColor="text1"/>
          <w:sz w:val="16"/>
          <w:szCs w:val="28"/>
          <w:lang w:val="en-GB"/>
        </w:rPr>
        <w:t xml:space="preserve"> this share has noticeable decreased from 46% last year</w:t>
      </w:r>
      <w:r w:rsidR="008802AA">
        <w:rPr>
          <w:color w:val="000000" w:themeColor="text1"/>
          <w:sz w:val="16"/>
          <w:szCs w:val="28"/>
          <w:lang w:val="en-GB"/>
        </w:rPr>
        <w:t xml:space="preserve"> to 38</w:t>
      </w:r>
      <w:r w:rsidR="003A40E4">
        <w:rPr>
          <w:color w:val="000000" w:themeColor="text1"/>
          <w:sz w:val="16"/>
          <w:szCs w:val="28"/>
          <w:lang w:val="en-GB"/>
        </w:rPr>
        <w:t>% this year</w:t>
      </w:r>
      <w:r w:rsidR="007A3115" w:rsidRPr="007A3115">
        <w:rPr>
          <w:color w:val="000000" w:themeColor="text1"/>
          <w:sz w:val="16"/>
          <w:szCs w:val="28"/>
          <w:lang w:val="en-GB"/>
        </w:rPr>
        <w:t>.</w:t>
      </w:r>
      <w:r w:rsidR="003A40E4">
        <w:rPr>
          <w:color w:val="000000" w:themeColor="text1"/>
          <w:sz w:val="16"/>
          <w:szCs w:val="28"/>
          <w:lang w:val="en-GB"/>
        </w:rPr>
        <w:t xml:space="preserve"> Instead</w:t>
      </w:r>
      <w:r w:rsidR="008802AA">
        <w:rPr>
          <w:color w:val="000000" w:themeColor="text1"/>
          <w:sz w:val="16"/>
          <w:szCs w:val="28"/>
          <w:lang w:val="en-GB"/>
        </w:rPr>
        <w:t>,</w:t>
      </w:r>
      <w:r w:rsidR="003A40E4">
        <w:rPr>
          <w:color w:val="000000" w:themeColor="text1"/>
          <w:sz w:val="16"/>
          <w:szCs w:val="28"/>
          <w:lang w:val="en-GB"/>
        </w:rPr>
        <w:t xml:space="preserve"> more other explanations like supply-chain </w:t>
      </w:r>
      <w:r w:rsidR="003C4A46">
        <w:rPr>
          <w:color w:val="000000" w:themeColor="text1"/>
          <w:sz w:val="16"/>
          <w:szCs w:val="28"/>
          <w:lang w:val="en-GB"/>
        </w:rPr>
        <w:t>issues</w:t>
      </w:r>
      <w:r w:rsidR="003A40E4">
        <w:rPr>
          <w:color w:val="000000" w:themeColor="text1"/>
          <w:sz w:val="16"/>
          <w:szCs w:val="28"/>
          <w:lang w:val="en-GB"/>
        </w:rPr>
        <w:t xml:space="preserve">, the war in Ukraine or management problems were named. </w:t>
      </w:r>
      <w:r w:rsidR="00226D50" w:rsidRPr="007A3115">
        <w:rPr>
          <w:color w:val="000000" w:themeColor="text1"/>
          <w:sz w:val="16"/>
          <w:szCs w:val="28"/>
          <w:lang w:val="en-GB"/>
        </w:rPr>
        <w:t xml:space="preserve">When asked </w:t>
      </w:r>
      <w:r w:rsidR="003F3483" w:rsidRPr="007A3115">
        <w:rPr>
          <w:color w:val="000000" w:themeColor="text1"/>
          <w:sz w:val="16"/>
          <w:szCs w:val="28"/>
          <w:lang w:val="en-GB"/>
        </w:rPr>
        <w:t>about the</w:t>
      </w:r>
      <w:r w:rsidR="00226D50" w:rsidRPr="007A3115">
        <w:rPr>
          <w:color w:val="000000" w:themeColor="text1"/>
          <w:sz w:val="16"/>
          <w:szCs w:val="28"/>
          <w:lang w:val="en-GB"/>
        </w:rPr>
        <w:t xml:space="preserve"> </w:t>
      </w:r>
      <w:r w:rsidR="003A40E4">
        <w:rPr>
          <w:color w:val="000000" w:themeColor="text1"/>
          <w:sz w:val="16"/>
          <w:szCs w:val="28"/>
          <w:lang w:val="en-GB"/>
        </w:rPr>
        <w:t>r</w:t>
      </w:r>
      <w:r w:rsidR="00226D50" w:rsidRPr="007A3115">
        <w:rPr>
          <w:color w:val="000000" w:themeColor="text1"/>
          <w:sz w:val="16"/>
          <w:szCs w:val="28"/>
          <w:lang w:val="en-GB"/>
        </w:rPr>
        <w:t>eason</w:t>
      </w:r>
      <w:r w:rsidR="00DA6452" w:rsidRPr="007A3115">
        <w:rPr>
          <w:color w:val="000000" w:themeColor="text1"/>
          <w:sz w:val="16"/>
          <w:szCs w:val="28"/>
          <w:lang w:val="en-GB"/>
        </w:rPr>
        <w:t xml:space="preserve"> for the financial difficulties, </w:t>
      </w:r>
      <w:r w:rsidR="007A3115" w:rsidRPr="007A3115">
        <w:rPr>
          <w:color w:val="000000" w:themeColor="text1"/>
          <w:sz w:val="16"/>
          <w:szCs w:val="28"/>
          <w:lang w:val="en-GB"/>
        </w:rPr>
        <w:t>38%</w:t>
      </w:r>
      <w:r w:rsidR="003C4A46">
        <w:rPr>
          <w:color w:val="000000" w:themeColor="text1"/>
          <w:sz w:val="16"/>
          <w:szCs w:val="28"/>
          <w:lang w:val="en-GB"/>
        </w:rPr>
        <w:t xml:space="preserve"> of participants</w:t>
      </w:r>
      <w:r w:rsidR="007A3115" w:rsidRPr="007A3115">
        <w:rPr>
          <w:color w:val="000000" w:themeColor="text1"/>
          <w:sz w:val="16"/>
          <w:szCs w:val="28"/>
          <w:lang w:val="en-GB"/>
        </w:rPr>
        <w:t xml:space="preserve"> answered rising costs of commodities, input-goods and other production costs</w:t>
      </w:r>
      <w:r w:rsidR="003A40E4">
        <w:rPr>
          <w:color w:val="000000" w:themeColor="text1"/>
          <w:sz w:val="16"/>
          <w:szCs w:val="28"/>
          <w:lang w:val="en-GB"/>
        </w:rPr>
        <w:t xml:space="preserve"> (compared to only 7% in 2021)</w:t>
      </w:r>
      <w:r w:rsidR="007A3115" w:rsidRPr="007A3115">
        <w:rPr>
          <w:color w:val="000000" w:themeColor="text1"/>
          <w:sz w:val="16"/>
          <w:szCs w:val="28"/>
          <w:lang w:val="en-GB"/>
        </w:rPr>
        <w:t xml:space="preserve">. The second </w:t>
      </w:r>
      <w:r w:rsidR="004A71B2">
        <w:rPr>
          <w:color w:val="000000" w:themeColor="text1"/>
          <w:sz w:val="16"/>
          <w:szCs w:val="28"/>
          <w:lang w:val="en-GB"/>
        </w:rPr>
        <w:t xml:space="preserve">most frequently mentioned </w:t>
      </w:r>
      <w:r w:rsidR="007A3115" w:rsidRPr="007A3115">
        <w:rPr>
          <w:color w:val="000000" w:themeColor="text1"/>
          <w:sz w:val="16"/>
          <w:szCs w:val="28"/>
          <w:lang w:val="en-GB"/>
        </w:rPr>
        <w:t>reason for financial difficulties w</w:t>
      </w:r>
      <w:r w:rsidR="004A71B2">
        <w:rPr>
          <w:color w:val="000000" w:themeColor="text1"/>
          <w:sz w:val="16"/>
          <w:szCs w:val="28"/>
          <w:lang w:val="en-GB"/>
        </w:rPr>
        <w:t>as</w:t>
      </w:r>
      <w:r w:rsidR="007A3115" w:rsidRPr="007A3115">
        <w:rPr>
          <w:color w:val="000000" w:themeColor="text1"/>
          <w:sz w:val="16"/>
          <w:szCs w:val="28"/>
          <w:lang w:val="en-GB"/>
        </w:rPr>
        <w:t xml:space="preserve"> supply chain problems. </w:t>
      </w:r>
      <w:r w:rsidR="004A71B2">
        <w:rPr>
          <w:color w:val="000000" w:themeColor="text1"/>
          <w:sz w:val="16"/>
          <w:szCs w:val="28"/>
          <w:lang w:val="en-GB"/>
        </w:rPr>
        <w:t>This was</w:t>
      </w:r>
      <w:r w:rsidR="007A3115" w:rsidRPr="007A3115">
        <w:rPr>
          <w:color w:val="000000" w:themeColor="text1"/>
          <w:sz w:val="16"/>
          <w:szCs w:val="28"/>
          <w:lang w:val="en-GB"/>
        </w:rPr>
        <w:t xml:space="preserve"> named by 13% </w:t>
      </w:r>
      <w:r w:rsidR="004A71B2">
        <w:rPr>
          <w:color w:val="000000" w:themeColor="text1"/>
          <w:sz w:val="16"/>
          <w:szCs w:val="28"/>
          <w:lang w:val="en-GB"/>
        </w:rPr>
        <w:t xml:space="preserve">of the participants </w:t>
      </w:r>
      <w:r w:rsidR="007A3115" w:rsidRPr="007A3115">
        <w:rPr>
          <w:color w:val="000000" w:themeColor="text1"/>
          <w:sz w:val="16"/>
          <w:szCs w:val="28"/>
          <w:lang w:val="en-GB"/>
        </w:rPr>
        <w:t xml:space="preserve">(10% in 2021). </w:t>
      </w:r>
      <w:r w:rsidR="004A71B2">
        <w:rPr>
          <w:color w:val="000000" w:themeColor="text1"/>
          <w:sz w:val="16"/>
          <w:szCs w:val="28"/>
          <w:lang w:val="en-GB"/>
        </w:rPr>
        <w:t>It</w:t>
      </w:r>
      <w:r w:rsidR="007A3115" w:rsidRPr="007A3115">
        <w:rPr>
          <w:color w:val="000000" w:themeColor="text1"/>
          <w:sz w:val="16"/>
          <w:szCs w:val="28"/>
          <w:lang w:val="en-GB"/>
        </w:rPr>
        <w:t xml:space="preserve"> </w:t>
      </w:r>
      <w:r w:rsidR="004A71B2">
        <w:rPr>
          <w:color w:val="000000" w:themeColor="text1"/>
          <w:sz w:val="16"/>
          <w:szCs w:val="28"/>
          <w:lang w:val="en-GB"/>
        </w:rPr>
        <w:t>is</w:t>
      </w:r>
      <w:r w:rsidR="007A3115" w:rsidRPr="007A3115">
        <w:rPr>
          <w:color w:val="000000" w:themeColor="text1"/>
          <w:sz w:val="16"/>
          <w:szCs w:val="28"/>
          <w:lang w:val="en-GB"/>
        </w:rPr>
        <w:t xml:space="preserve"> f</w:t>
      </w:r>
      <w:r w:rsidR="004A71B2">
        <w:rPr>
          <w:color w:val="000000" w:themeColor="text1"/>
          <w:sz w:val="16"/>
          <w:szCs w:val="28"/>
          <w:lang w:val="en-GB"/>
        </w:rPr>
        <w:t>ol</w:t>
      </w:r>
      <w:r w:rsidR="007A3115" w:rsidRPr="007A3115">
        <w:rPr>
          <w:color w:val="000000" w:themeColor="text1"/>
          <w:sz w:val="16"/>
          <w:szCs w:val="28"/>
          <w:lang w:val="en-GB"/>
        </w:rPr>
        <w:t xml:space="preserve">lowed by high competitive pressure (11% in 2022 vs. 14% in 2021) </w:t>
      </w:r>
      <w:proofErr w:type="gramStart"/>
      <w:r w:rsidR="007A3115" w:rsidRPr="007A3115">
        <w:rPr>
          <w:color w:val="000000" w:themeColor="text1"/>
          <w:sz w:val="16"/>
          <w:szCs w:val="28"/>
          <w:lang w:val="en-GB"/>
        </w:rPr>
        <w:t xml:space="preserve">and  </w:t>
      </w:r>
      <w:r w:rsidR="003C4A46">
        <w:rPr>
          <w:color w:val="000000" w:themeColor="text1"/>
          <w:sz w:val="16"/>
          <w:szCs w:val="28"/>
          <w:lang w:val="en-GB"/>
        </w:rPr>
        <w:t>lower</w:t>
      </w:r>
      <w:proofErr w:type="gramEnd"/>
      <w:r w:rsidR="007A3115" w:rsidRPr="007A3115">
        <w:rPr>
          <w:color w:val="000000" w:themeColor="text1"/>
          <w:sz w:val="16"/>
          <w:szCs w:val="28"/>
          <w:lang w:val="en-GB"/>
        </w:rPr>
        <w:t xml:space="preserve"> demand in Germany (10% 2022 vs. 20% in 2021</w:t>
      </w:r>
      <w:r w:rsidR="003C4A46">
        <w:rPr>
          <w:color w:val="000000" w:themeColor="text1"/>
          <w:sz w:val="16"/>
          <w:szCs w:val="28"/>
          <w:lang w:val="en-GB"/>
        </w:rPr>
        <w:t xml:space="preserve"> being at that time the main reason</w:t>
      </w:r>
      <w:r w:rsidR="007A3115" w:rsidRPr="007A3115">
        <w:rPr>
          <w:color w:val="000000" w:themeColor="text1"/>
          <w:sz w:val="16"/>
          <w:szCs w:val="28"/>
          <w:lang w:val="en-GB"/>
        </w:rPr>
        <w:t xml:space="preserve">). The COVID-19 pandemic </w:t>
      </w:r>
      <w:r w:rsidR="004A71B2">
        <w:rPr>
          <w:color w:val="000000" w:themeColor="text1"/>
          <w:sz w:val="16"/>
          <w:szCs w:val="28"/>
          <w:lang w:val="en-GB"/>
        </w:rPr>
        <w:t xml:space="preserve">and its impact on the economy, however, </w:t>
      </w:r>
      <w:r w:rsidR="007A3115" w:rsidRPr="00D57A00">
        <w:rPr>
          <w:color w:val="000000" w:themeColor="text1"/>
          <w:sz w:val="16"/>
          <w:szCs w:val="28"/>
          <w:lang w:val="en-GB"/>
        </w:rPr>
        <w:t xml:space="preserve">lost its significance and was not named anymore. </w:t>
      </w:r>
    </w:p>
    <w:p w14:paraId="4D4BEA7A" w14:textId="432C1A2E" w:rsidR="00751673" w:rsidRPr="004A71B2" w:rsidRDefault="001F42A8" w:rsidP="00A020E8">
      <w:pPr>
        <w:pStyle w:val="Listenabsatz"/>
        <w:numPr>
          <w:ilvl w:val="0"/>
          <w:numId w:val="1"/>
        </w:numPr>
        <w:spacing w:line="240" w:lineRule="auto"/>
        <w:jc w:val="both"/>
        <w:rPr>
          <w:color w:val="000000" w:themeColor="text1"/>
          <w:sz w:val="16"/>
          <w:szCs w:val="28"/>
          <w:lang w:val="en-GB"/>
        </w:rPr>
      </w:pPr>
      <w:r w:rsidRPr="004A71B2">
        <w:rPr>
          <w:color w:val="000000" w:themeColor="text1"/>
          <w:sz w:val="16"/>
          <w:szCs w:val="28"/>
          <w:lang w:val="en-GB"/>
        </w:rPr>
        <w:t xml:space="preserve">The financial risks </w:t>
      </w:r>
      <w:r w:rsidR="00D62D07" w:rsidRPr="004A71B2">
        <w:rPr>
          <w:color w:val="000000" w:themeColor="text1"/>
          <w:sz w:val="16"/>
          <w:szCs w:val="28"/>
          <w:lang w:val="en-GB"/>
        </w:rPr>
        <w:t xml:space="preserve">associated with late </w:t>
      </w:r>
      <w:r w:rsidRPr="004A71B2">
        <w:rPr>
          <w:color w:val="000000" w:themeColor="text1"/>
          <w:sz w:val="16"/>
          <w:szCs w:val="28"/>
          <w:lang w:val="en-GB"/>
        </w:rPr>
        <w:t xml:space="preserve">payments for German companies </w:t>
      </w:r>
      <w:r w:rsidR="007A3115" w:rsidRPr="004A71B2">
        <w:rPr>
          <w:color w:val="000000" w:themeColor="text1"/>
          <w:sz w:val="16"/>
          <w:szCs w:val="28"/>
          <w:lang w:val="en-GB"/>
        </w:rPr>
        <w:t>remains moderate in 2022</w:t>
      </w:r>
      <w:r w:rsidR="004A71B2" w:rsidRPr="004A71B2">
        <w:rPr>
          <w:color w:val="000000" w:themeColor="text1"/>
          <w:sz w:val="16"/>
          <w:szCs w:val="28"/>
          <w:lang w:val="en-GB"/>
        </w:rPr>
        <w:t>,</w:t>
      </w:r>
      <w:r w:rsidR="007A3115" w:rsidRPr="004A71B2">
        <w:rPr>
          <w:color w:val="000000" w:themeColor="text1"/>
          <w:sz w:val="16"/>
          <w:szCs w:val="28"/>
          <w:lang w:val="en-GB"/>
        </w:rPr>
        <w:t xml:space="preserve"> but ha</w:t>
      </w:r>
      <w:r w:rsidR="004A71B2" w:rsidRPr="004A71B2">
        <w:rPr>
          <w:color w:val="000000" w:themeColor="text1"/>
          <w:sz w:val="16"/>
          <w:szCs w:val="28"/>
          <w:lang w:val="en-GB"/>
        </w:rPr>
        <w:t>ve</w:t>
      </w:r>
      <w:r w:rsidR="007A3115" w:rsidRPr="004A71B2">
        <w:rPr>
          <w:color w:val="000000" w:themeColor="text1"/>
          <w:sz w:val="16"/>
          <w:szCs w:val="28"/>
          <w:lang w:val="en-GB"/>
        </w:rPr>
        <w:t xml:space="preserve"> increased</w:t>
      </w:r>
      <w:r w:rsidRPr="004A71B2">
        <w:rPr>
          <w:color w:val="000000" w:themeColor="text1"/>
          <w:sz w:val="16"/>
          <w:szCs w:val="28"/>
          <w:lang w:val="en-GB"/>
        </w:rPr>
        <w:t xml:space="preserve">. </w:t>
      </w:r>
      <w:r w:rsidR="00BD4456" w:rsidRPr="004A71B2">
        <w:rPr>
          <w:color w:val="000000" w:themeColor="text1"/>
          <w:sz w:val="16"/>
          <w:szCs w:val="28"/>
          <w:lang w:val="en-GB"/>
        </w:rPr>
        <w:t>In total</w:t>
      </w:r>
      <w:r w:rsidR="004A71B2" w:rsidRPr="004A71B2">
        <w:rPr>
          <w:color w:val="000000" w:themeColor="text1"/>
          <w:sz w:val="16"/>
          <w:szCs w:val="28"/>
          <w:lang w:val="en-GB"/>
        </w:rPr>
        <w:t>,</w:t>
      </w:r>
      <w:r w:rsidRPr="004A71B2">
        <w:rPr>
          <w:color w:val="000000" w:themeColor="text1"/>
          <w:sz w:val="16"/>
          <w:szCs w:val="28"/>
          <w:lang w:val="en-GB"/>
        </w:rPr>
        <w:t xml:space="preserve"> </w:t>
      </w:r>
      <w:r w:rsidR="00BD4456" w:rsidRPr="004A71B2">
        <w:rPr>
          <w:color w:val="000000" w:themeColor="text1"/>
          <w:sz w:val="16"/>
          <w:szCs w:val="28"/>
          <w:lang w:val="en-GB"/>
        </w:rPr>
        <w:t>7.2</w:t>
      </w:r>
      <w:r w:rsidRPr="004A71B2">
        <w:rPr>
          <w:color w:val="000000" w:themeColor="text1"/>
          <w:sz w:val="16"/>
          <w:szCs w:val="28"/>
          <w:lang w:val="en-GB"/>
        </w:rPr>
        <w:t xml:space="preserve">% of participants reported that the share of overdue </w:t>
      </w:r>
      <w:r w:rsidR="00D62D07" w:rsidRPr="004A71B2">
        <w:rPr>
          <w:color w:val="000000" w:themeColor="text1"/>
          <w:sz w:val="16"/>
          <w:szCs w:val="28"/>
          <w:lang w:val="en-GB"/>
        </w:rPr>
        <w:t xml:space="preserve">payments </w:t>
      </w:r>
      <w:r w:rsidRPr="004A71B2">
        <w:rPr>
          <w:color w:val="000000" w:themeColor="text1"/>
          <w:sz w:val="16"/>
          <w:szCs w:val="28"/>
          <w:lang w:val="en-GB"/>
        </w:rPr>
        <w:t xml:space="preserve">between 6 months and 2 years </w:t>
      </w:r>
      <w:r w:rsidR="00D62D07" w:rsidRPr="004A71B2">
        <w:rPr>
          <w:color w:val="000000" w:themeColor="text1"/>
          <w:sz w:val="16"/>
          <w:szCs w:val="28"/>
          <w:lang w:val="en-GB"/>
        </w:rPr>
        <w:t xml:space="preserve">represents </w:t>
      </w:r>
      <w:r w:rsidRPr="004A71B2">
        <w:rPr>
          <w:color w:val="000000" w:themeColor="text1"/>
          <w:sz w:val="16"/>
          <w:szCs w:val="28"/>
          <w:lang w:val="en-GB"/>
        </w:rPr>
        <w:t>2% or more of their annual turnover</w:t>
      </w:r>
      <w:r w:rsidR="004A71B2" w:rsidRPr="004A71B2">
        <w:rPr>
          <w:color w:val="000000" w:themeColor="text1"/>
          <w:sz w:val="16"/>
          <w:szCs w:val="28"/>
          <w:lang w:val="en-GB"/>
        </w:rPr>
        <w:t>. This represents</w:t>
      </w:r>
      <w:r w:rsidR="003F3483" w:rsidRPr="004A71B2">
        <w:rPr>
          <w:color w:val="000000" w:themeColor="text1"/>
          <w:sz w:val="16"/>
          <w:szCs w:val="28"/>
          <w:lang w:val="en-GB"/>
        </w:rPr>
        <w:t xml:space="preserve"> </w:t>
      </w:r>
      <w:r w:rsidRPr="004A71B2">
        <w:rPr>
          <w:color w:val="000000" w:themeColor="text1"/>
          <w:sz w:val="16"/>
          <w:szCs w:val="28"/>
          <w:lang w:val="en-GB"/>
        </w:rPr>
        <w:t>a</w:t>
      </w:r>
      <w:r w:rsidR="00BD4456" w:rsidRPr="004A71B2">
        <w:rPr>
          <w:color w:val="000000" w:themeColor="text1"/>
          <w:sz w:val="16"/>
          <w:szCs w:val="28"/>
          <w:lang w:val="en-GB"/>
        </w:rPr>
        <w:t>n increase</w:t>
      </w:r>
      <w:r w:rsidRPr="004A71B2">
        <w:rPr>
          <w:color w:val="000000" w:themeColor="text1"/>
          <w:sz w:val="16"/>
          <w:szCs w:val="28"/>
          <w:lang w:val="en-GB"/>
        </w:rPr>
        <w:t xml:space="preserve"> of </w:t>
      </w:r>
      <w:r w:rsidR="00BD4456" w:rsidRPr="004A71B2">
        <w:rPr>
          <w:color w:val="000000" w:themeColor="text1"/>
          <w:sz w:val="16"/>
          <w:szCs w:val="28"/>
          <w:lang w:val="en-GB"/>
        </w:rPr>
        <w:t>2.8</w:t>
      </w:r>
      <w:r w:rsidRPr="004A71B2">
        <w:rPr>
          <w:color w:val="000000" w:themeColor="text1"/>
          <w:sz w:val="16"/>
          <w:szCs w:val="28"/>
          <w:lang w:val="en-GB"/>
        </w:rPr>
        <w:t xml:space="preserve"> percentage points compared to 202</w:t>
      </w:r>
      <w:r w:rsidR="00BD4456" w:rsidRPr="004A71B2">
        <w:rPr>
          <w:color w:val="000000" w:themeColor="text1"/>
          <w:sz w:val="16"/>
          <w:szCs w:val="28"/>
          <w:lang w:val="en-GB"/>
        </w:rPr>
        <w:t>1</w:t>
      </w:r>
      <w:r w:rsidR="004A71B2" w:rsidRPr="004A71B2">
        <w:rPr>
          <w:color w:val="000000" w:themeColor="text1"/>
          <w:sz w:val="16"/>
          <w:szCs w:val="28"/>
          <w:lang w:val="en-GB"/>
        </w:rPr>
        <w:t xml:space="preserve">. Nevertheless, the level of around 7% is roughly the same as 2020 and </w:t>
      </w:r>
      <w:r w:rsidR="00BD4456" w:rsidRPr="004A71B2">
        <w:rPr>
          <w:color w:val="000000" w:themeColor="text1"/>
          <w:sz w:val="16"/>
          <w:szCs w:val="28"/>
          <w:lang w:val="en-GB"/>
        </w:rPr>
        <w:t>far below th</w:t>
      </w:r>
      <w:r w:rsidR="004A71B2">
        <w:rPr>
          <w:color w:val="000000" w:themeColor="text1"/>
          <w:sz w:val="16"/>
          <w:szCs w:val="28"/>
          <w:lang w:val="en-GB"/>
        </w:rPr>
        <w:t>e pre-pandemic average of 10.5%</w:t>
      </w:r>
      <w:r w:rsidR="00BD4456" w:rsidRPr="004A71B2">
        <w:rPr>
          <w:color w:val="000000" w:themeColor="text1"/>
          <w:sz w:val="16"/>
          <w:szCs w:val="28"/>
          <w:lang w:val="en-GB"/>
        </w:rPr>
        <w:t>.</w:t>
      </w:r>
      <w:r w:rsidRPr="004A71B2">
        <w:rPr>
          <w:color w:val="000000" w:themeColor="text1"/>
          <w:sz w:val="16"/>
          <w:szCs w:val="28"/>
          <w:lang w:val="en-GB"/>
        </w:rPr>
        <w:t xml:space="preserve"> </w:t>
      </w:r>
      <w:r w:rsidR="004A71B2">
        <w:rPr>
          <w:color w:val="000000" w:themeColor="text1"/>
          <w:sz w:val="16"/>
          <w:szCs w:val="28"/>
          <w:lang w:val="en-GB"/>
        </w:rPr>
        <w:t>I</w:t>
      </w:r>
      <w:r w:rsidRPr="004A71B2">
        <w:rPr>
          <w:color w:val="000000" w:themeColor="text1"/>
          <w:sz w:val="16"/>
          <w:szCs w:val="28"/>
          <w:lang w:val="en-GB"/>
        </w:rPr>
        <w:t xml:space="preserve">n </w:t>
      </w:r>
      <w:r w:rsidR="004A71B2">
        <w:rPr>
          <w:color w:val="000000" w:themeColor="text1"/>
          <w:sz w:val="16"/>
          <w:szCs w:val="28"/>
          <w:lang w:val="en-GB"/>
        </w:rPr>
        <w:t xml:space="preserve">the </w:t>
      </w:r>
      <w:r w:rsidRPr="004A71B2">
        <w:rPr>
          <w:color w:val="000000" w:themeColor="text1"/>
          <w:sz w:val="16"/>
          <w:szCs w:val="28"/>
          <w:lang w:val="en-GB"/>
        </w:rPr>
        <w:t>sectoral comparison</w:t>
      </w:r>
      <w:r w:rsidR="00D62D07" w:rsidRPr="004A71B2">
        <w:rPr>
          <w:color w:val="000000" w:themeColor="text1"/>
          <w:sz w:val="16"/>
          <w:szCs w:val="28"/>
          <w:lang w:val="en-GB"/>
        </w:rPr>
        <w:t xml:space="preserve">, </w:t>
      </w:r>
      <w:r w:rsidRPr="004A71B2">
        <w:rPr>
          <w:color w:val="000000" w:themeColor="text1"/>
          <w:sz w:val="16"/>
          <w:szCs w:val="28"/>
          <w:lang w:val="en-GB"/>
        </w:rPr>
        <w:t>the result</w:t>
      </w:r>
      <w:r w:rsidR="004A71B2">
        <w:rPr>
          <w:color w:val="000000" w:themeColor="text1"/>
          <w:sz w:val="16"/>
          <w:szCs w:val="28"/>
          <w:lang w:val="en-GB"/>
        </w:rPr>
        <w:t>s are</w:t>
      </w:r>
      <w:r w:rsidRPr="004A71B2">
        <w:rPr>
          <w:color w:val="000000" w:themeColor="text1"/>
          <w:sz w:val="16"/>
          <w:szCs w:val="28"/>
          <w:lang w:val="en-GB"/>
        </w:rPr>
        <w:t xml:space="preserve"> </w:t>
      </w:r>
      <w:r w:rsidR="00BD4456" w:rsidRPr="004A71B2">
        <w:rPr>
          <w:color w:val="000000" w:themeColor="text1"/>
          <w:sz w:val="16"/>
          <w:szCs w:val="28"/>
          <w:lang w:val="en-GB"/>
        </w:rPr>
        <w:t>diverging</w:t>
      </w:r>
      <w:r w:rsidRPr="004A71B2">
        <w:rPr>
          <w:color w:val="000000" w:themeColor="text1"/>
          <w:sz w:val="16"/>
          <w:szCs w:val="28"/>
          <w:lang w:val="en-GB"/>
        </w:rPr>
        <w:t xml:space="preserve">. While no company in </w:t>
      </w:r>
      <w:r w:rsidR="00D57A00" w:rsidRPr="004A71B2">
        <w:rPr>
          <w:color w:val="000000" w:themeColor="text1"/>
          <w:sz w:val="16"/>
          <w:szCs w:val="28"/>
          <w:lang w:val="en-GB"/>
        </w:rPr>
        <w:t xml:space="preserve">the </w:t>
      </w:r>
      <w:r w:rsidRPr="004A71B2">
        <w:rPr>
          <w:color w:val="000000" w:themeColor="text1"/>
          <w:sz w:val="16"/>
          <w:szCs w:val="28"/>
          <w:lang w:val="en-GB"/>
        </w:rPr>
        <w:t xml:space="preserve">wood </w:t>
      </w:r>
      <w:r w:rsidR="00D57A00" w:rsidRPr="004A71B2">
        <w:rPr>
          <w:color w:val="000000" w:themeColor="text1"/>
          <w:sz w:val="16"/>
          <w:szCs w:val="28"/>
          <w:lang w:val="en-GB"/>
        </w:rPr>
        <w:t xml:space="preserve">sector </w:t>
      </w:r>
      <w:r w:rsidR="00890222" w:rsidRPr="004A71B2">
        <w:rPr>
          <w:color w:val="000000" w:themeColor="text1"/>
          <w:sz w:val="16"/>
          <w:szCs w:val="28"/>
          <w:lang w:val="en-GB"/>
        </w:rPr>
        <w:t xml:space="preserve">reported a higher </w:t>
      </w:r>
      <w:r w:rsidR="00B06BA0" w:rsidRPr="004A71B2">
        <w:rPr>
          <w:color w:val="000000" w:themeColor="text1"/>
          <w:sz w:val="16"/>
          <w:szCs w:val="28"/>
          <w:lang w:val="en-GB"/>
        </w:rPr>
        <w:t xml:space="preserve">share of longer payment delays </w:t>
      </w:r>
      <w:r w:rsidR="003F3483" w:rsidRPr="004A71B2">
        <w:rPr>
          <w:color w:val="000000" w:themeColor="text1"/>
          <w:sz w:val="16"/>
          <w:szCs w:val="28"/>
          <w:lang w:val="en-GB"/>
        </w:rPr>
        <w:t>relative</w:t>
      </w:r>
      <w:r w:rsidR="00B06BA0" w:rsidRPr="004A71B2">
        <w:rPr>
          <w:color w:val="000000" w:themeColor="text1"/>
          <w:sz w:val="16"/>
          <w:szCs w:val="28"/>
          <w:lang w:val="en-GB"/>
        </w:rPr>
        <w:t xml:space="preserve"> to their annual turnover</w:t>
      </w:r>
      <w:r w:rsidR="00D57A00" w:rsidRPr="004A71B2">
        <w:rPr>
          <w:color w:val="000000" w:themeColor="text1"/>
          <w:sz w:val="16"/>
          <w:szCs w:val="28"/>
          <w:lang w:val="en-GB"/>
        </w:rPr>
        <w:t>, 12</w:t>
      </w:r>
      <w:r w:rsidRPr="004A71B2">
        <w:rPr>
          <w:color w:val="000000" w:themeColor="text1"/>
          <w:sz w:val="16"/>
          <w:szCs w:val="28"/>
          <w:lang w:val="en-GB"/>
        </w:rPr>
        <w:t xml:space="preserve">% of companies in the </w:t>
      </w:r>
      <w:r w:rsidR="00D57A00" w:rsidRPr="004A71B2">
        <w:rPr>
          <w:color w:val="000000" w:themeColor="text1"/>
          <w:sz w:val="16"/>
          <w:szCs w:val="28"/>
          <w:lang w:val="en-GB"/>
        </w:rPr>
        <w:t>automotive</w:t>
      </w:r>
      <w:r w:rsidRPr="004A71B2">
        <w:rPr>
          <w:color w:val="000000" w:themeColor="text1"/>
          <w:sz w:val="16"/>
          <w:szCs w:val="28"/>
          <w:lang w:val="en-GB"/>
        </w:rPr>
        <w:t xml:space="preserve"> sector </w:t>
      </w:r>
      <w:r w:rsidR="0016637C">
        <w:rPr>
          <w:color w:val="000000" w:themeColor="text1"/>
          <w:sz w:val="16"/>
          <w:szCs w:val="28"/>
          <w:lang w:val="en-GB"/>
        </w:rPr>
        <w:t xml:space="preserve">and in the ICT sector </w:t>
      </w:r>
      <w:r w:rsidR="00B06BA0" w:rsidRPr="004A71B2">
        <w:rPr>
          <w:color w:val="000000" w:themeColor="text1"/>
          <w:sz w:val="16"/>
          <w:szCs w:val="28"/>
          <w:lang w:val="en-GB"/>
        </w:rPr>
        <w:t>confirmed</w:t>
      </w:r>
      <w:r w:rsidRPr="004A71B2">
        <w:rPr>
          <w:color w:val="000000" w:themeColor="text1"/>
          <w:sz w:val="16"/>
          <w:szCs w:val="28"/>
          <w:lang w:val="en-GB"/>
        </w:rPr>
        <w:t xml:space="preserve"> this situation</w:t>
      </w:r>
      <w:r w:rsidR="00D57A00" w:rsidRPr="004A71B2">
        <w:rPr>
          <w:color w:val="000000" w:themeColor="text1"/>
          <w:sz w:val="16"/>
          <w:szCs w:val="28"/>
          <w:lang w:val="en-GB"/>
        </w:rPr>
        <w:t xml:space="preserve"> for 2022</w:t>
      </w:r>
      <w:r w:rsidRPr="004A71B2">
        <w:rPr>
          <w:color w:val="000000" w:themeColor="text1"/>
          <w:sz w:val="16"/>
          <w:szCs w:val="28"/>
          <w:lang w:val="en-GB"/>
        </w:rPr>
        <w:t>.</w:t>
      </w:r>
      <w:r w:rsidR="00D57A00" w:rsidRPr="004A71B2">
        <w:rPr>
          <w:color w:val="000000" w:themeColor="text1"/>
          <w:sz w:val="16"/>
          <w:szCs w:val="28"/>
          <w:lang w:val="en-GB"/>
        </w:rPr>
        <w:t xml:space="preserve"> In construction, ICT and machinery there are single companies that reported the share of overdue payments between 6 months and 2 years represents </w:t>
      </w:r>
      <w:r w:rsidR="0016637C">
        <w:rPr>
          <w:color w:val="000000" w:themeColor="text1"/>
          <w:sz w:val="16"/>
          <w:szCs w:val="28"/>
          <w:lang w:val="en-GB"/>
        </w:rPr>
        <w:t xml:space="preserve">even </w:t>
      </w:r>
      <w:r w:rsidR="00D57A00" w:rsidRPr="004A71B2">
        <w:rPr>
          <w:color w:val="000000" w:themeColor="text1"/>
          <w:sz w:val="16"/>
          <w:szCs w:val="28"/>
          <w:lang w:val="en-GB"/>
        </w:rPr>
        <w:t>more than 10% of their annual turnover.</w:t>
      </w:r>
      <w:r w:rsidRPr="004A71B2">
        <w:rPr>
          <w:color w:val="000000" w:themeColor="text1"/>
          <w:sz w:val="16"/>
          <w:szCs w:val="28"/>
          <w:lang w:val="en-GB"/>
        </w:rPr>
        <w:t xml:space="preserve"> </w:t>
      </w:r>
    </w:p>
    <w:p w14:paraId="746F2B0D" w14:textId="5805534A" w:rsidR="00404278" w:rsidRPr="00E97FDF" w:rsidRDefault="00404278" w:rsidP="00404278">
      <w:pPr>
        <w:spacing w:line="240" w:lineRule="auto"/>
        <w:rPr>
          <w:color w:val="283860"/>
          <w:sz w:val="28"/>
          <w:szCs w:val="28"/>
          <w:lang w:val="en-GB"/>
        </w:rPr>
      </w:pPr>
      <w:r w:rsidRPr="00E97FDF">
        <w:rPr>
          <w:b/>
          <w:color w:val="283860"/>
          <w:sz w:val="28"/>
          <w:szCs w:val="28"/>
          <w:lang w:val="en-GB"/>
        </w:rPr>
        <w:t>ECONOMIC EXPECTATIONS</w:t>
      </w:r>
      <w:r w:rsidRPr="00E97FDF">
        <w:rPr>
          <w:b/>
          <w:color w:val="283860"/>
          <w:sz w:val="28"/>
          <w:szCs w:val="28"/>
          <w:lang w:val="en-GB"/>
        </w:rPr>
        <w:br/>
      </w:r>
      <w:r w:rsidR="00E97FDF" w:rsidRPr="00E97FDF">
        <w:rPr>
          <w:color w:val="283860"/>
          <w:sz w:val="28"/>
          <w:szCs w:val="28"/>
          <w:lang w:val="en-GB"/>
        </w:rPr>
        <w:t xml:space="preserve">COMPANIES ARE </w:t>
      </w:r>
      <w:r w:rsidR="0016637C">
        <w:rPr>
          <w:color w:val="283860"/>
          <w:sz w:val="28"/>
          <w:szCs w:val="28"/>
          <w:lang w:val="en-GB"/>
        </w:rPr>
        <w:t xml:space="preserve">VERY </w:t>
      </w:r>
      <w:r w:rsidR="00E97FDF" w:rsidRPr="00E97FDF">
        <w:rPr>
          <w:color w:val="283860"/>
          <w:sz w:val="28"/>
          <w:szCs w:val="28"/>
          <w:lang w:val="en-GB"/>
        </w:rPr>
        <w:t>PESSIMISTIC ABOUT THEIR FUTURE</w:t>
      </w:r>
    </w:p>
    <w:p w14:paraId="37AF4428" w14:textId="4DE52BF2" w:rsidR="00404278" w:rsidRPr="00140533" w:rsidRDefault="00404278" w:rsidP="00404278">
      <w:pPr>
        <w:spacing w:line="240" w:lineRule="auto"/>
        <w:rPr>
          <w:i/>
          <w:color w:val="283860"/>
          <w:sz w:val="16"/>
          <w:szCs w:val="28"/>
          <w:lang w:val="en-GB"/>
        </w:rPr>
      </w:pPr>
      <w:r w:rsidRPr="00140533">
        <w:rPr>
          <w:i/>
          <w:color w:val="283860"/>
          <w:sz w:val="16"/>
          <w:szCs w:val="28"/>
          <w:lang w:val="en-GB"/>
        </w:rPr>
        <w:t xml:space="preserve">Key Figure: </w:t>
      </w:r>
      <w:r w:rsidR="00140533" w:rsidRPr="00140533">
        <w:rPr>
          <w:i/>
          <w:color w:val="283860"/>
          <w:sz w:val="16"/>
          <w:szCs w:val="28"/>
          <w:lang w:val="en-GB"/>
        </w:rPr>
        <w:t xml:space="preserve">Participants were never so pessimistic about the future. </w:t>
      </w:r>
      <w:r w:rsidR="00EA63B7" w:rsidRPr="00140533">
        <w:rPr>
          <w:i/>
          <w:color w:val="283860"/>
          <w:sz w:val="16"/>
          <w:szCs w:val="28"/>
          <w:lang w:val="en-GB"/>
        </w:rPr>
        <w:t>3</w:t>
      </w:r>
      <w:r w:rsidR="00140533" w:rsidRPr="00140533">
        <w:rPr>
          <w:i/>
          <w:color w:val="283860"/>
          <w:sz w:val="16"/>
          <w:szCs w:val="28"/>
          <w:lang w:val="en-GB"/>
        </w:rPr>
        <w:t>8</w:t>
      </w:r>
      <w:r w:rsidR="004109E9" w:rsidRPr="00140533">
        <w:rPr>
          <w:i/>
          <w:color w:val="283860"/>
          <w:sz w:val="16"/>
          <w:szCs w:val="28"/>
          <w:lang w:val="en-GB"/>
        </w:rPr>
        <w:t xml:space="preserve">% of all </w:t>
      </w:r>
      <w:r w:rsidR="00E50C71" w:rsidRPr="00140533">
        <w:rPr>
          <w:i/>
          <w:color w:val="283860"/>
          <w:sz w:val="16"/>
          <w:szCs w:val="28"/>
          <w:lang w:val="en-GB"/>
        </w:rPr>
        <w:t>respondents expect</w:t>
      </w:r>
      <w:r w:rsidR="004E1701" w:rsidRPr="00140533">
        <w:rPr>
          <w:i/>
          <w:color w:val="283860"/>
          <w:sz w:val="16"/>
          <w:szCs w:val="28"/>
          <w:lang w:val="en-GB"/>
        </w:rPr>
        <w:t xml:space="preserve"> </w:t>
      </w:r>
      <w:r w:rsidR="00140533" w:rsidRPr="00140533">
        <w:rPr>
          <w:i/>
          <w:color w:val="283860"/>
          <w:sz w:val="16"/>
          <w:szCs w:val="28"/>
          <w:lang w:val="en-GB"/>
        </w:rPr>
        <w:t>worse</w:t>
      </w:r>
      <w:r w:rsidR="00E50C71" w:rsidRPr="00140533">
        <w:rPr>
          <w:i/>
          <w:color w:val="283860"/>
          <w:sz w:val="16"/>
          <w:szCs w:val="28"/>
          <w:lang w:val="en-GB"/>
        </w:rPr>
        <w:t xml:space="preserve"> business conditions </w:t>
      </w:r>
      <w:r w:rsidR="00EB2198" w:rsidRPr="00140533">
        <w:rPr>
          <w:i/>
          <w:color w:val="283860"/>
          <w:sz w:val="16"/>
          <w:szCs w:val="28"/>
          <w:lang w:val="en-GB"/>
        </w:rPr>
        <w:t>in</w:t>
      </w:r>
      <w:r w:rsidR="00E50C71" w:rsidRPr="00140533">
        <w:rPr>
          <w:i/>
          <w:color w:val="283860"/>
          <w:sz w:val="16"/>
          <w:szCs w:val="28"/>
          <w:lang w:val="en-GB"/>
        </w:rPr>
        <w:t xml:space="preserve"> 202</w:t>
      </w:r>
      <w:r w:rsidR="00140533" w:rsidRPr="00140533">
        <w:rPr>
          <w:i/>
          <w:color w:val="283860"/>
          <w:sz w:val="16"/>
          <w:szCs w:val="28"/>
          <w:lang w:val="en-GB"/>
        </w:rPr>
        <w:t>3</w:t>
      </w:r>
      <w:r w:rsidR="00E50C71" w:rsidRPr="00140533">
        <w:rPr>
          <w:i/>
          <w:color w:val="283860"/>
          <w:sz w:val="16"/>
          <w:szCs w:val="28"/>
          <w:lang w:val="en-GB"/>
        </w:rPr>
        <w:t xml:space="preserve"> </w:t>
      </w:r>
      <w:r w:rsidR="004E1701" w:rsidRPr="00140533">
        <w:rPr>
          <w:i/>
          <w:color w:val="283860"/>
          <w:sz w:val="16"/>
          <w:szCs w:val="28"/>
          <w:lang w:val="en-GB"/>
        </w:rPr>
        <w:t xml:space="preserve">compared to </w:t>
      </w:r>
      <w:r w:rsidR="00EB2198" w:rsidRPr="00140533">
        <w:rPr>
          <w:i/>
          <w:color w:val="283860"/>
          <w:sz w:val="16"/>
          <w:szCs w:val="28"/>
          <w:lang w:val="en-GB"/>
        </w:rPr>
        <w:t>20</w:t>
      </w:r>
      <w:r w:rsidR="00EA63B7" w:rsidRPr="00140533">
        <w:rPr>
          <w:i/>
          <w:color w:val="283860"/>
          <w:sz w:val="16"/>
          <w:szCs w:val="28"/>
          <w:lang w:val="en-GB"/>
        </w:rPr>
        <w:t>2</w:t>
      </w:r>
      <w:r w:rsidR="00140533" w:rsidRPr="00140533">
        <w:rPr>
          <w:i/>
          <w:color w:val="283860"/>
          <w:sz w:val="16"/>
          <w:szCs w:val="28"/>
          <w:lang w:val="en-GB"/>
        </w:rPr>
        <w:t>2</w:t>
      </w:r>
      <w:r w:rsidR="00EA63B7" w:rsidRPr="00140533">
        <w:rPr>
          <w:i/>
          <w:color w:val="283860"/>
          <w:sz w:val="16"/>
          <w:szCs w:val="28"/>
          <w:lang w:val="en-GB"/>
        </w:rPr>
        <w:t xml:space="preserve">, </w:t>
      </w:r>
      <w:r w:rsidR="00D56FF0" w:rsidRPr="00140533">
        <w:rPr>
          <w:i/>
          <w:color w:val="283860"/>
          <w:sz w:val="16"/>
          <w:szCs w:val="28"/>
          <w:lang w:val="en-GB"/>
        </w:rPr>
        <w:t xml:space="preserve">while </w:t>
      </w:r>
      <w:r w:rsidR="00EA63B7" w:rsidRPr="00140533">
        <w:rPr>
          <w:i/>
          <w:color w:val="283860"/>
          <w:sz w:val="16"/>
          <w:szCs w:val="28"/>
          <w:lang w:val="en-GB"/>
        </w:rPr>
        <w:t>1</w:t>
      </w:r>
      <w:r w:rsidR="00140533" w:rsidRPr="00140533">
        <w:rPr>
          <w:i/>
          <w:color w:val="283860"/>
          <w:sz w:val="16"/>
          <w:szCs w:val="28"/>
          <w:lang w:val="en-GB"/>
        </w:rPr>
        <w:t>4</w:t>
      </w:r>
      <w:r w:rsidR="00A37FFC" w:rsidRPr="00140533">
        <w:rPr>
          <w:i/>
          <w:color w:val="283860"/>
          <w:sz w:val="16"/>
          <w:szCs w:val="28"/>
          <w:lang w:val="en-GB"/>
        </w:rPr>
        <w:t xml:space="preserve">% are </w:t>
      </w:r>
      <w:r w:rsidR="0016637C">
        <w:rPr>
          <w:i/>
          <w:color w:val="283860"/>
          <w:sz w:val="16"/>
          <w:szCs w:val="28"/>
          <w:lang w:val="en-GB"/>
        </w:rPr>
        <w:t xml:space="preserve">more </w:t>
      </w:r>
      <w:r w:rsidR="00140533" w:rsidRPr="00140533">
        <w:rPr>
          <w:i/>
          <w:color w:val="283860"/>
          <w:sz w:val="16"/>
          <w:szCs w:val="28"/>
          <w:lang w:val="en-GB"/>
        </w:rPr>
        <w:t>optimis</w:t>
      </w:r>
      <w:r w:rsidR="00EA63B7" w:rsidRPr="00140533">
        <w:rPr>
          <w:i/>
          <w:color w:val="283860"/>
          <w:sz w:val="16"/>
          <w:szCs w:val="28"/>
          <w:lang w:val="en-GB"/>
        </w:rPr>
        <w:t>tic</w:t>
      </w:r>
      <w:r w:rsidR="00A37FFC" w:rsidRPr="00140533">
        <w:rPr>
          <w:i/>
          <w:color w:val="283860"/>
          <w:sz w:val="16"/>
          <w:szCs w:val="28"/>
          <w:lang w:val="en-GB"/>
        </w:rPr>
        <w:t xml:space="preserve"> for 202</w:t>
      </w:r>
      <w:r w:rsidR="00140533" w:rsidRPr="00140533">
        <w:rPr>
          <w:i/>
          <w:color w:val="283860"/>
          <w:sz w:val="16"/>
          <w:szCs w:val="28"/>
          <w:lang w:val="en-GB"/>
        </w:rPr>
        <w:t>3</w:t>
      </w:r>
      <w:r w:rsidR="002E70A1" w:rsidRPr="00140533">
        <w:rPr>
          <w:i/>
          <w:color w:val="283860"/>
          <w:sz w:val="16"/>
          <w:szCs w:val="28"/>
          <w:lang w:val="en-GB"/>
        </w:rPr>
        <w:t>.</w:t>
      </w:r>
    </w:p>
    <w:p w14:paraId="59D68ACC" w14:textId="03FCA227" w:rsidR="001B1775" w:rsidRPr="00180052" w:rsidRDefault="004109E9" w:rsidP="001B1775">
      <w:pPr>
        <w:spacing w:line="240" w:lineRule="auto"/>
        <w:rPr>
          <w:color w:val="283860"/>
          <w:sz w:val="16"/>
          <w:szCs w:val="28"/>
          <w:lang w:val="en-GB"/>
        </w:rPr>
      </w:pPr>
      <w:r w:rsidRPr="00180052">
        <w:rPr>
          <w:b/>
          <w:color w:val="283860"/>
          <w:sz w:val="16"/>
          <w:szCs w:val="28"/>
          <w:lang w:val="en-GB"/>
        </w:rPr>
        <w:t xml:space="preserve">Chart </w:t>
      </w:r>
      <w:r w:rsidR="00893F18" w:rsidRPr="00180052">
        <w:rPr>
          <w:b/>
          <w:color w:val="283860"/>
          <w:sz w:val="16"/>
          <w:szCs w:val="28"/>
          <w:lang w:val="en-GB"/>
        </w:rPr>
        <w:t>8</w:t>
      </w:r>
      <w:r w:rsidR="001B1775" w:rsidRPr="00180052">
        <w:rPr>
          <w:b/>
          <w:color w:val="283860"/>
          <w:sz w:val="16"/>
          <w:szCs w:val="28"/>
          <w:lang w:val="en-GB"/>
        </w:rPr>
        <w:t xml:space="preserve">: </w:t>
      </w:r>
      <w:r w:rsidR="00D42C8A" w:rsidRPr="00180052">
        <w:rPr>
          <w:color w:val="283860"/>
          <w:sz w:val="16"/>
          <w:szCs w:val="28"/>
          <w:lang w:val="en-GB"/>
        </w:rPr>
        <w:br/>
      </w:r>
      <w:r w:rsidRPr="00180052">
        <w:rPr>
          <w:color w:val="283860"/>
          <w:sz w:val="16"/>
          <w:szCs w:val="28"/>
          <w:lang w:val="en-GB"/>
        </w:rPr>
        <w:t>What is</w:t>
      </w:r>
      <w:r w:rsidR="00180052" w:rsidRPr="00180052">
        <w:rPr>
          <w:color w:val="283860"/>
          <w:sz w:val="16"/>
          <w:szCs w:val="28"/>
          <w:lang w:val="en-GB"/>
        </w:rPr>
        <w:t xml:space="preserve"> the current business situation</w:t>
      </w:r>
      <w:r w:rsidR="0016637C">
        <w:rPr>
          <w:color w:val="283860"/>
          <w:sz w:val="16"/>
          <w:szCs w:val="28"/>
          <w:lang w:val="en-GB"/>
        </w:rPr>
        <w:t xml:space="preserve"> for the year 2022</w:t>
      </w:r>
      <w:r w:rsidR="00180052" w:rsidRPr="00180052">
        <w:rPr>
          <w:color w:val="283860"/>
          <w:sz w:val="16"/>
          <w:szCs w:val="28"/>
          <w:lang w:val="en-GB"/>
        </w:rPr>
        <w:t xml:space="preserve"> and what is the business outlook for</w:t>
      </w:r>
      <w:r w:rsidR="004E1701" w:rsidRPr="00180052">
        <w:rPr>
          <w:color w:val="283860"/>
          <w:sz w:val="16"/>
          <w:szCs w:val="28"/>
          <w:lang w:val="en-GB"/>
        </w:rPr>
        <w:t xml:space="preserve"> </w:t>
      </w:r>
      <w:r w:rsidRPr="00180052">
        <w:rPr>
          <w:color w:val="283860"/>
          <w:sz w:val="16"/>
          <w:szCs w:val="28"/>
          <w:lang w:val="en-GB"/>
        </w:rPr>
        <w:t xml:space="preserve">your company </w:t>
      </w:r>
      <w:r w:rsidR="00812012" w:rsidRPr="00180052">
        <w:rPr>
          <w:color w:val="283860"/>
          <w:sz w:val="16"/>
          <w:szCs w:val="28"/>
          <w:lang w:val="en-GB"/>
        </w:rPr>
        <w:t xml:space="preserve">for </w:t>
      </w:r>
      <w:r w:rsidR="00180052" w:rsidRPr="00180052">
        <w:rPr>
          <w:color w:val="283860"/>
          <w:sz w:val="16"/>
          <w:szCs w:val="28"/>
          <w:lang w:val="en-GB"/>
        </w:rPr>
        <w:t>2023 compared to the year before</w:t>
      </w:r>
      <w:r w:rsidR="00812012" w:rsidRPr="00180052">
        <w:rPr>
          <w:color w:val="283860"/>
          <w:sz w:val="16"/>
          <w:szCs w:val="28"/>
          <w:lang w:val="en-GB"/>
        </w:rPr>
        <w:t>?</w:t>
      </w:r>
      <w:r w:rsidR="001B1775" w:rsidRPr="00180052">
        <w:rPr>
          <w:color w:val="283860"/>
          <w:sz w:val="16"/>
          <w:szCs w:val="28"/>
          <w:lang w:val="en-GB"/>
        </w:rPr>
        <w:t xml:space="preserve"> (</w:t>
      </w:r>
      <w:proofErr w:type="gramStart"/>
      <w:r w:rsidR="001B1775" w:rsidRPr="00180052">
        <w:rPr>
          <w:color w:val="283860"/>
          <w:sz w:val="16"/>
          <w:szCs w:val="28"/>
          <w:lang w:val="en-GB"/>
        </w:rPr>
        <w:t>figures</w:t>
      </w:r>
      <w:proofErr w:type="gramEnd"/>
      <w:r w:rsidR="001B1775" w:rsidRPr="00180052">
        <w:rPr>
          <w:color w:val="283860"/>
          <w:sz w:val="16"/>
          <w:szCs w:val="28"/>
          <w:lang w:val="en-GB"/>
        </w:rPr>
        <w:t xml:space="preserve"> in balance points</w:t>
      </w:r>
      <w:r w:rsidR="007670EB" w:rsidRPr="00180052">
        <w:rPr>
          <w:rStyle w:val="Funotenzeichen"/>
          <w:color w:val="283860"/>
          <w:sz w:val="16"/>
          <w:szCs w:val="28"/>
          <w:lang w:val="en-GB"/>
        </w:rPr>
        <w:footnoteReference w:id="11"/>
      </w:r>
      <w:r w:rsidR="001B1775" w:rsidRPr="00180052">
        <w:rPr>
          <w:color w:val="283860"/>
          <w:sz w:val="16"/>
          <w:szCs w:val="28"/>
          <w:lang w:val="en-GB"/>
        </w:rPr>
        <w:t>)</w:t>
      </w:r>
    </w:p>
    <w:p w14:paraId="16978CE7" w14:textId="37CB64C8" w:rsidR="001B1775" w:rsidRPr="00180052" w:rsidRDefault="00180052" w:rsidP="00404278">
      <w:pPr>
        <w:spacing w:line="240" w:lineRule="auto"/>
        <w:rPr>
          <w:b/>
          <w:color w:val="283860"/>
          <w:sz w:val="28"/>
          <w:szCs w:val="28"/>
          <w:lang w:val="en-GB"/>
        </w:rPr>
      </w:pPr>
      <w:r w:rsidRPr="00180052">
        <w:rPr>
          <w:b/>
          <w:noProof/>
          <w:color w:val="283860"/>
          <w:sz w:val="28"/>
          <w:szCs w:val="28"/>
          <w:lang w:eastAsia="de-DE"/>
        </w:rPr>
        <w:drawing>
          <wp:inline distT="0" distB="0" distL="0" distR="0" wp14:anchorId="2E66B091" wp14:editId="42C40A75">
            <wp:extent cx="3135085" cy="212334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7560" cy="2125021"/>
                    </a:xfrm>
                    <a:prstGeom prst="rect">
                      <a:avLst/>
                    </a:prstGeom>
                    <a:noFill/>
                    <a:ln>
                      <a:noFill/>
                    </a:ln>
                  </pic:spPr>
                </pic:pic>
              </a:graphicData>
            </a:graphic>
          </wp:inline>
        </w:drawing>
      </w:r>
    </w:p>
    <w:p w14:paraId="64447B27" w14:textId="07B74E10" w:rsidR="00893F18" w:rsidRPr="00180052" w:rsidRDefault="00893F18" w:rsidP="00893F18">
      <w:pPr>
        <w:spacing w:line="240" w:lineRule="auto"/>
        <w:rPr>
          <w:color w:val="000000" w:themeColor="text1"/>
          <w:sz w:val="12"/>
          <w:szCs w:val="28"/>
          <w:lang w:val="en-GB"/>
        </w:rPr>
      </w:pPr>
      <w:r w:rsidRPr="00180052">
        <w:rPr>
          <w:color w:val="000000" w:themeColor="text1"/>
          <w:sz w:val="12"/>
          <w:szCs w:val="28"/>
          <w:lang w:val="en-GB"/>
        </w:rPr>
        <w:t xml:space="preserve">Source: </w:t>
      </w:r>
      <w:proofErr w:type="spellStart"/>
      <w:r w:rsidRPr="00180052">
        <w:rPr>
          <w:color w:val="000000" w:themeColor="text1"/>
          <w:sz w:val="12"/>
          <w:szCs w:val="28"/>
          <w:lang w:val="en-GB"/>
        </w:rPr>
        <w:t>Co</w:t>
      </w:r>
      <w:r w:rsidR="00290E3A" w:rsidRPr="00180052">
        <w:rPr>
          <w:color w:val="000000" w:themeColor="text1"/>
          <w:sz w:val="12"/>
          <w:szCs w:val="28"/>
          <w:lang w:val="en-GB"/>
        </w:rPr>
        <w:t>face</w:t>
      </w:r>
      <w:proofErr w:type="spellEnd"/>
      <w:r w:rsidR="00290E3A" w:rsidRPr="00180052">
        <w:rPr>
          <w:color w:val="000000" w:themeColor="text1"/>
          <w:sz w:val="12"/>
          <w:szCs w:val="28"/>
          <w:lang w:val="en-GB"/>
        </w:rPr>
        <w:t xml:space="preserve"> </w:t>
      </w:r>
      <w:r w:rsidR="00180052" w:rsidRPr="00180052">
        <w:rPr>
          <w:color w:val="000000" w:themeColor="text1"/>
          <w:sz w:val="12"/>
          <w:szCs w:val="28"/>
          <w:lang w:val="en-GB"/>
        </w:rPr>
        <w:t xml:space="preserve">Corporate </w:t>
      </w:r>
      <w:r w:rsidR="00290E3A" w:rsidRPr="00180052">
        <w:rPr>
          <w:color w:val="000000" w:themeColor="text1"/>
          <w:sz w:val="12"/>
          <w:szCs w:val="28"/>
          <w:lang w:val="en-GB"/>
        </w:rPr>
        <w:t>Payment Survey Germany 2022</w:t>
      </w:r>
    </w:p>
    <w:p w14:paraId="0839A1C5" w14:textId="180663E2" w:rsidR="0016637C" w:rsidRDefault="0016637C" w:rsidP="0059248A">
      <w:pPr>
        <w:spacing w:line="240" w:lineRule="auto"/>
        <w:rPr>
          <w:b/>
          <w:color w:val="283860"/>
          <w:sz w:val="16"/>
          <w:szCs w:val="28"/>
          <w:lang w:val="en-GB"/>
        </w:rPr>
      </w:pPr>
      <w:r>
        <w:rPr>
          <w:b/>
          <w:color w:val="283860"/>
          <w:sz w:val="16"/>
          <w:szCs w:val="28"/>
          <w:lang w:val="en-GB"/>
        </w:rPr>
        <w:br/>
      </w:r>
    </w:p>
    <w:p w14:paraId="483280C9" w14:textId="77777777" w:rsidR="0016637C" w:rsidRDefault="0016637C">
      <w:pPr>
        <w:rPr>
          <w:b/>
          <w:color w:val="283860"/>
          <w:sz w:val="16"/>
          <w:szCs w:val="28"/>
          <w:lang w:val="en-GB"/>
        </w:rPr>
      </w:pPr>
      <w:r>
        <w:rPr>
          <w:b/>
          <w:color w:val="283860"/>
          <w:sz w:val="16"/>
          <w:szCs w:val="28"/>
          <w:lang w:val="en-GB"/>
        </w:rPr>
        <w:br w:type="page"/>
      </w:r>
    </w:p>
    <w:p w14:paraId="63257681" w14:textId="6501918C" w:rsidR="0059248A" w:rsidRPr="00180052" w:rsidRDefault="0059248A" w:rsidP="0059248A">
      <w:pPr>
        <w:spacing w:line="240" w:lineRule="auto"/>
        <w:rPr>
          <w:color w:val="283860"/>
          <w:sz w:val="16"/>
          <w:szCs w:val="28"/>
          <w:lang w:val="en-GB"/>
        </w:rPr>
      </w:pPr>
      <w:r w:rsidRPr="00180052">
        <w:rPr>
          <w:b/>
          <w:color w:val="283860"/>
          <w:sz w:val="16"/>
          <w:szCs w:val="28"/>
          <w:lang w:val="en-GB"/>
        </w:rPr>
        <w:lastRenderedPageBreak/>
        <w:t xml:space="preserve">Chart </w:t>
      </w:r>
      <w:r w:rsidR="00893F18" w:rsidRPr="00180052">
        <w:rPr>
          <w:b/>
          <w:color w:val="283860"/>
          <w:sz w:val="16"/>
          <w:szCs w:val="28"/>
          <w:lang w:val="en-GB"/>
        </w:rPr>
        <w:t>9</w:t>
      </w:r>
      <w:r w:rsidRPr="00180052">
        <w:rPr>
          <w:b/>
          <w:color w:val="283860"/>
          <w:sz w:val="16"/>
          <w:szCs w:val="28"/>
          <w:lang w:val="en-GB"/>
        </w:rPr>
        <w:t>:</w:t>
      </w:r>
      <w:r w:rsidRPr="00180052">
        <w:rPr>
          <w:color w:val="283860"/>
          <w:sz w:val="16"/>
          <w:szCs w:val="28"/>
          <w:lang w:val="en-GB"/>
        </w:rPr>
        <w:t xml:space="preserve"> </w:t>
      </w:r>
      <w:r w:rsidR="00D42C8A" w:rsidRPr="00180052">
        <w:rPr>
          <w:color w:val="283860"/>
          <w:sz w:val="16"/>
          <w:szCs w:val="28"/>
          <w:lang w:val="en-GB"/>
        </w:rPr>
        <w:br/>
      </w:r>
      <w:r w:rsidRPr="00180052">
        <w:rPr>
          <w:color w:val="283860"/>
          <w:sz w:val="16"/>
          <w:szCs w:val="28"/>
          <w:lang w:val="en-GB"/>
        </w:rPr>
        <w:t>What is the main risk for your export business in the future</w:t>
      </w:r>
      <w:r w:rsidR="004E1701" w:rsidRPr="00180052">
        <w:rPr>
          <w:color w:val="283860"/>
          <w:sz w:val="16"/>
          <w:szCs w:val="28"/>
          <w:lang w:val="en-GB"/>
        </w:rPr>
        <w:t>?</w:t>
      </w:r>
    </w:p>
    <w:p w14:paraId="2F402FEC" w14:textId="7A2862D2" w:rsidR="0059248A" w:rsidRPr="00180052" w:rsidRDefault="002029EB" w:rsidP="0059248A">
      <w:pPr>
        <w:spacing w:line="240" w:lineRule="auto"/>
        <w:rPr>
          <w:b/>
          <w:color w:val="283860"/>
          <w:sz w:val="28"/>
          <w:szCs w:val="28"/>
          <w:lang w:val="en-GB"/>
        </w:rPr>
      </w:pPr>
      <w:r w:rsidRPr="002029EB">
        <w:rPr>
          <w:b/>
          <w:noProof/>
          <w:color w:val="283860"/>
          <w:sz w:val="28"/>
          <w:szCs w:val="28"/>
          <w:lang w:eastAsia="de-DE"/>
        </w:rPr>
        <w:drawing>
          <wp:inline distT="0" distB="0" distL="0" distR="0" wp14:anchorId="211BAAE5" wp14:editId="2FBC7A67">
            <wp:extent cx="2903388" cy="154866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2011" cy="1553265"/>
                    </a:xfrm>
                    <a:prstGeom prst="rect">
                      <a:avLst/>
                    </a:prstGeom>
                    <a:noFill/>
                    <a:ln>
                      <a:noFill/>
                    </a:ln>
                  </pic:spPr>
                </pic:pic>
              </a:graphicData>
            </a:graphic>
          </wp:inline>
        </w:drawing>
      </w:r>
    </w:p>
    <w:p w14:paraId="79321E96" w14:textId="4A5848AE" w:rsidR="00893F18" w:rsidRPr="00180052" w:rsidRDefault="00893F18" w:rsidP="00893F18">
      <w:pPr>
        <w:spacing w:line="240" w:lineRule="auto"/>
        <w:rPr>
          <w:color w:val="000000" w:themeColor="text1"/>
          <w:sz w:val="12"/>
          <w:szCs w:val="28"/>
          <w:lang w:val="en-GB"/>
        </w:rPr>
      </w:pPr>
      <w:r w:rsidRPr="00180052">
        <w:rPr>
          <w:color w:val="000000" w:themeColor="text1"/>
          <w:sz w:val="12"/>
          <w:szCs w:val="28"/>
          <w:lang w:val="en-GB"/>
        </w:rPr>
        <w:t xml:space="preserve">Source: </w:t>
      </w:r>
      <w:proofErr w:type="spellStart"/>
      <w:r w:rsidRPr="00180052">
        <w:rPr>
          <w:color w:val="000000" w:themeColor="text1"/>
          <w:sz w:val="12"/>
          <w:szCs w:val="28"/>
          <w:lang w:val="en-GB"/>
        </w:rPr>
        <w:t>Co</w:t>
      </w:r>
      <w:r w:rsidR="00290E3A" w:rsidRPr="00180052">
        <w:rPr>
          <w:color w:val="000000" w:themeColor="text1"/>
          <w:sz w:val="12"/>
          <w:szCs w:val="28"/>
          <w:lang w:val="en-GB"/>
        </w:rPr>
        <w:t>face</w:t>
      </w:r>
      <w:proofErr w:type="spellEnd"/>
      <w:r w:rsidR="00290E3A" w:rsidRPr="00180052">
        <w:rPr>
          <w:color w:val="000000" w:themeColor="text1"/>
          <w:sz w:val="12"/>
          <w:szCs w:val="28"/>
          <w:lang w:val="en-GB"/>
        </w:rPr>
        <w:t xml:space="preserve"> </w:t>
      </w:r>
      <w:r w:rsidR="00180052" w:rsidRPr="00180052">
        <w:rPr>
          <w:color w:val="000000" w:themeColor="text1"/>
          <w:sz w:val="12"/>
          <w:szCs w:val="28"/>
          <w:lang w:val="en-GB"/>
        </w:rPr>
        <w:t xml:space="preserve">Corporate </w:t>
      </w:r>
      <w:r w:rsidR="00290E3A" w:rsidRPr="00180052">
        <w:rPr>
          <w:color w:val="000000" w:themeColor="text1"/>
          <w:sz w:val="12"/>
          <w:szCs w:val="28"/>
          <w:lang w:val="en-GB"/>
        </w:rPr>
        <w:t>Payment Survey Germany 2022</w:t>
      </w:r>
    </w:p>
    <w:p w14:paraId="2C11D2D1" w14:textId="255DA8ED" w:rsidR="001B1775" w:rsidRPr="000C74B1" w:rsidRDefault="00612290" w:rsidP="00612290">
      <w:pPr>
        <w:spacing w:line="240" w:lineRule="auto"/>
        <w:rPr>
          <w:color w:val="283860"/>
          <w:sz w:val="16"/>
          <w:szCs w:val="28"/>
          <w:lang w:val="en-GB"/>
        </w:rPr>
      </w:pPr>
      <w:r w:rsidRPr="000C74B1">
        <w:rPr>
          <w:b/>
          <w:color w:val="283860"/>
          <w:sz w:val="16"/>
          <w:szCs w:val="28"/>
          <w:lang w:val="en-GB"/>
        </w:rPr>
        <w:t>Chart 1</w:t>
      </w:r>
      <w:r w:rsidR="00893F18" w:rsidRPr="000C74B1">
        <w:rPr>
          <w:b/>
          <w:color w:val="283860"/>
          <w:sz w:val="16"/>
          <w:szCs w:val="28"/>
          <w:lang w:val="en-GB"/>
        </w:rPr>
        <w:t>0</w:t>
      </w:r>
      <w:r w:rsidRPr="000C74B1">
        <w:rPr>
          <w:b/>
          <w:color w:val="283860"/>
          <w:sz w:val="16"/>
          <w:szCs w:val="28"/>
          <w:lang w:val="en-GB"/>
        </w:rPr>
        <w:t>:</w:t>
      </w:r>
      <w:r w:rsidRPr="000C74B1">
        <w:rPr>
          <w:color w:val="283860"/>
          <w:sz w:val="16"/>
          <w:szCs w:val="28"/>
          <w:lang w:val="en-GB"/>
        </w:rPr>
        <w:t xml:space="preserve"> </w:t>
      </w:r>
      <w:r w:rsidR="00D42C8A" w:rsidRPr="000C74B1">
        <w:rPr>
          <w:color w:val="283860"/>
          <w:sz w:val="16"/>
          <w:szCs w:val="28"/>
          <w:lang w:val="en-GB"/>
        </w:rPr>
        <w:br/>
      </w:r>
      <w:r w:rsidRPr="000C74B1">
        <w:rPr>
          <w:color w:val="283860"/>
          <w:sz w:val="16"/>
          <w:szCs w:val="28"/>
          <w:lang w:val="en-GB"/>
        </w:rPr>
        <w:t>What are the markets with the biggest opportunities for you in the coming year? (</w:t>
      </w:r>
      <w:proofErr w:type="gramStart"/>
      <w:r w:rsidRPr="000C74B1">
        <w:rPr>
          <w:color w:val="283860"/>
          <w:sz w:val="16"/>
          <w:szCs w:val="28"/>
          <w:lang w:val="en-GB"/>
        </w:rPr>
        <w:t>max</w:t>
      </w:r>
      <w:proofErr w:type="gramEnd"/>
      <w:r w:rsidRPr="000C74B1">
        <w:rPr>
          <w:color w:val="283860"/>
          <w:sz w:val="16"/>
          <w:szCs w:val="28"/>
          <w:lang w:val="en-GB"/>
        </w:rPr>
        <w:t>. three answers possible)</w:t>
      </w:r>
    </w:p>
    <w:p w14:paraId="4293CB84" w14:textId="78CB8AD0" w:rsidR="00893F18" w:rsidRPr="000C74B1" w:rsidRDefault="00D871B0" w:rsidP="00893F18">
      <w:pPr>
        <w:spacing w:line="240" w:lineRule="auto"/>
        <w:rPr>
          <w:color w:val="000000" w:themeColor="text1"/>
          <w:sz w:val="12"/>
          <w:szCs w:val="28"/>
          <w:lang w:val="en-GB"/>
        </w:rPr>
      </w:pPr>
      <w:r w:rsidRPr="00D871B0">
        <w:rPr>
          <w:b/>
          <w:noProof/>
          <w:color w:val="283860"/>
          <w:sz w:val="28"/>
          <w:szCs w:val="28"/>
          <w:lang w:eastAsia="de-DE"/>
        </w:rPr>
        <w:drawing>
          <wp:inline distT="0" distB="0" distL="0" distR="0" wp14:anchorId="13F66A45" wp14:editId="4A22714B">
            <wp:extent cx="2950599" cy="1738945"/>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81" cy="1740231"/>
                    </a:xfrm>
                    <a:prstGeom prst="rect">
                      <a:avLst/>
                    </a:prstGeom>
                    <a:noFill/>
                    <a:ln>
                      <a:noFill/>
                    </a:ln>
                  </pic:spPr>
                </pic:pic>
              </a:graphicData>
            </a:graphic>
          </wp:inline>
        </w:drawing>
      </w:r>
      <w:r w:rsidR="002F7007" w:rsidRPr="000C74B1">
        <w:rPr>
          <w:color w:val="000000" w:themeColor="text1"/>
          <w:sz w:val="12"/>
          <w:szCs w:val="28"/>
          <w:lang w:val="en-GB"/>
        </w:rPr>
        <w:t xml:space="preserve">Source: </w:t>
      </w:r>
      <w:proofErr w:type="spellStart"/>
      <w:r w:rsidR="00893F18" w:rsidRPr="000C74B1">
        <w:rPr>
          <w:color w:val="000000" w:themeColor="text1"/>
          <w:sz w:val="12"/>
          <w:szCs w:val="28"/>
          <w:lang w:val="en-GB"/>
        </w:rPr>
        <w:t>Co</w:t>
      </w:r>
      <w:r w:rsidR="00290E3A" w:rsidRPr="000C74B1">
        <w:rPr>
          <w:color w:val="000000" w:themeColor="text1"/>
          <w:sz w:val="12"/>
          <w:szCs w:val="28"/>
          <w:lang w:val="en-GB"/>
        </w:rPr>
        <w:t>face</w:t>
      </w:r>
      <w:proofErr w:type="spellEnd"/>
      <w:r w:rsidR="00290E3A" w:rsidRPr="000C74B1">
        <w:rPr>
          <w:color w:val="000000" w:themeColor="text1"/>
          <w:sz w:val="12"/>
          <w:szCs w:val="28"/>
          <w:lang w:val="en-GB"/>
        </w:rPr>
        <w:t xml:space="preserve"> </w:t>
      </w:r>
      <w:r w:rsidR="000C74B1" w:rsidRPr="000C74B1">
        <w:rPr>
          <w:color w:val="000000" w:themeColor="text1"/>
          <w:sz w:val="12"/>
          <w:szCs w:val="28"/>
          <w:lang w:val="en-GB"/>
        </w:rPr>
        <w:t xml:space="preserve">Corporate </w:t>
      </w:r>
      <w:r w:rsidR="00290E3A" w:rsidRPr="000C74B1">
        <w:rPr>
          <w:color w:val="000000" w:themeColor="text1"/>
          <w:sz w:val="12"/>
          <w:szCs w:val="28"/>
          <w:lang w:val="en-GB"/>
        </w:rPr>
        <w:t>Payment Survey Germany 2022</w:t>
      </w:r>
    </w:p>
    <w:p w14:paraId="74868113" w14:textId="1D222936" w:rsidR="002F7007" w:rsidRPr="00290E3A" w:rsidRDefault="002F7007" w:rsidP="00612290">
      <w:pPr>
        <w:spacing w:line="240" w:lineRule="auto"/>
        <w:rPr>
          <w:color w:val="000000" w:themeColor="text1"/>
          <w:sz w:val="12"/>
          <w:szCs w:val="28"/>
          <w:highlight w:val="yellow"/>
          <w:lang w:val="en-GB"/>
        </w:rPr>
      </w:pPr>
    </w:p>
    <w:p w14:paraId="5E6459B9" w14:textId="7F764F42" w:rsidR="00396AB1" w:rsidRPr="000C74B1" w:rsidRDefault="00396AB1" w:rsidP="00396AB1">
      <w:pPr>
        <w:spacing w:line="240" w:lineRule="auto"/>
        <w:rPr>
          <w:b/>
          <w:color w:val="283860"/>
          <w:sz w:val="28"/>
          <w:szCs w:val="28"/>
          <w:lang w:val="en-GB"/>
        </w:rPr>
      </w:pPr>
      <w:r w:rsidRPr="000C74B1">
        <w:rPr>
          <w:b/>
          <w:color w:val="283860"/>
          <w:sz w:val="16"/>
          <w:szCs w:val="28"/>
          <w:lang w:val="en-GB"/>
        </w:rPr>
        <w:t>Chart 1</w:t>
      </w:r>
      <w:r w:rsidR="00893F18" w:rsidRPr="000C74B1">
        <w:rPr>
          <w:b/>
          <w:color w:val="283860"/>
          <w:sz w:val="16"/>
          <w:szCs w:val="28"/>
          <w:lang w:val="en-GB"/>
        </w:rPr>
        <w:t>1</w:t>
      </w:r>
      <w:r w:rsidRPr="000C74B1">
        <w:rPr>
          <w:b/>
          <w:color w:val="283860"/>
          <w:sz w:val="16"/>
          <w:szCs w:val="28"/>
          <w:lang w:val="en-GB"/>
        </w:rPr>
        <w:t>:</w:t>
      </w:r>
      <w:r w:rsidRPr="000C74B1">
        <w:rPr>
          <w:color w:val="283860"/>
          <w:sz w:val="16"/>
          <w:szCs w:val="28"/>
          <w:lang w:val="en-GB"/>
        </w:rPr>
        <w:t xml:space="preserve"> </w:t>
      </w:r>
      <w:r w:rsidRPr="000C74B1">
        <w:rPr>
          <w:color w:val="283860"/>
          <w:sz w:val="16"/>
          <w:szCs w:val="28"/>
          <w:lang w:val="en-GB"/>
        </w:rPr>
        <w:br/>
      </w:r>
      <w:r w:rsidR="00EB45C8">
        <w:rPr>
          <w:color w:val="283860"/>
          <w:sz w:val="16"/>
          <w:szCs w:val="28"/>
          <w:lang w:val="en-GB"/>
        </w:rPr>
        <w:t>What kind of S</w:t>
      </w:r>
      <w:r w:rsidR="00E46931" w:rsidRPr="000C74B1">
        <w:rPr>
          <w:color w:val="283860"/>
          <w:sz w:val="16"/>
          <w:szCs w:val="28"/>
          <w:lang w:val="en-GB"/>
        </w:rPr>
        <w:t>tate aid measures did you take advantage of</w:t>
      </w:r>
      <w:r w:rsidR="000C74B1">
        <w:rPr>
          <w:color w:val="283860"/>
          <w:sz w:val="16"/>
          <w:szCs w:val="28"/>
          <w:lang w:val="en-GB"/>
        </w:rPr>
        <w:t xml:space="preserve"> in terms of the </w:t>
      </w:r>
      <w:r w:rsidR="001811AE">
        <w:rPr>
          <w:color w:val="283860"/>
          <w:sz w:val="16"/>
          <w:szCs w:val="28"/>
          <w:lang w:val="en-GB"/>
        </w:rPr>
        <w:t>COVID</w:t>
      </w:r>
      <w:r w:rsidR="00FC5768">
        <w:rPr>
          <w:color w:val="283860"/>
          <w:sz w:val="16"/>
          <w:szCs w:val="28"/>
          <w:lang w:val="en-GB"/>
        </w:rPr>
        <w:t xml:space="preserve">-19 </w:t>
      </w:r>
      <w:r w:rsidR="000C74B1">
        <w:rPr>
          <w:color w:val="283860"/>
          <w:sz w:val="16"/>
          <w:szCs w:val="28"/>
          <w:lang w:val="en-GB"/>
        </w:rPr>
        <w:t>crisis</w:t>
      </w:r>
      <w:r w:rsidR="00E46931" w:rsidRPr="000C74B1">
        <w:rPr>
          <w:color w:val="283860"/>
          <w:sz w:val="16"/>
          <w:szCs w:val="28"/>
          <w:lang w:val="en-GB"/>
        </w:rPr>
        <w:t>? (</w:t>
      </w:r>
      <w:proofErr w:type="gramStart"/>
      <w:r w:rsidR="00E46931" w:rsidRPr="000C74B1">
        <w:rPr>
          <w:color w:val="283860"/>
          <w:sz w:val="16"/>
          <w:szCs w:val="28"/>
          <w:lang w:val="en-GB"/>
        </w:rPr>
        <w:t>several</w:t>
      </w:r>
      <w:proofErr w:type="gramEnd"/>
      <w:r w:rsidR="00E46931" w:rsidRPr="000C74B1">
        <w:rPr>
          <w:color w:val="283860"/>
          <w:sz w:val="16"/>
          <w:szCs w:val="28"/>
          <w:lang w:val="en-GB"/>
        </w:rPr>
        <w:t xml:space="preserve"> answers are possible) </w:t>
      </w:r>
    </w:p>
    <w:p w14:paraId="090DC252" w14:textId="53F77CA0" w:rsidR="000C74B1" w:rsidRPr="000C74B1" w:rsidRDefault="000C74B1" w:rsidP="00893F18">
      <w:pPr>
        <w:spacing w:line="240" w:lineRule="auto"/>
        <w:rPr>
          <w:color w:val="000000" w:themeColor="text1"/>
          <w:sz w:val="12"/>
          <w:szCs w:val="28"/>
          <w:lang w:val="en-GB"/>
        </w:rPr>
      </w:pPr>
      <w:r w:rsidRPr="000C74B1">
        <w:rPr>
          <w:noProof/>
          <w:color w:val="000000" w:themeColor="text1"/>
          <w:sz w:val="12"/>
          <w:szCs w:val="28"/>
          <w:lang w:eastAsia="de-DE"/>
        </w:rPr>
        <w:drawing>
          <wp:inline distT="0" distB="0" distL="0" distR="0" wp14:anchorId="0D13B07C" wp14:editId="7F9DD3BA">
            <wp:extent cx="2986644" cy="1617641"/>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9927" cy="1624835"/>
                    </a:xfrm>
                    <a:prstGeom prst="rect">
                      <a:avLst/>
                    </a:prstGeom>
                    <a:noFill/>
                    <a:ln>
                      <a:noFill/>
                    </a:ln>
                  </pic:spPr>
                </pic:pic>
              </a:graphicData>
            </a:graphic>
          </wp:inline>
        </w:drawing>
      </w:r>
    </w:p>
    <w:p w14:paraId="71DA7684" w14:textId="058365DE" w:rsidR="00893F18" w:rsidRPr="000C74B1" w:rsidRDefault="00893F18" w:rsidP="00893F18">
      <w:pPr>
        <w:spacing w:line="240" w:lineRule="auto"/>
        <w:rPr>
          <w:color w:val="000000" w:themeColor="text1"/>
          <w:sz w:val="12"/>
          <w:szCs w:val="28"/>
          <w:lang w:val="en-GB"/>
        </w:rPr>
      </w:pPr>
      <w:r w:rsidRPr="000C74B1">
        <w:rPr>
          <w:color w:val="000000" w:themeColor="text1"/>
          <w:sz w:val="12"/>
          <w:szCs w:val="28"/>
          <w:lang w:val="en-GB"/>
        </w:rPr>
        <w:t xml:space="preserve">Source: </w:t>
      </w:r>
      <w:proofErr w:type="spellStart"/>
      <w:r w:rsidRPr="000C74B1">
        <w:rPr>
          <w:color w:val="000000" w:themeColor="text1"/>
          <w:sz w:val="12"/>
          <w:szCs w:val="28"/>
          <w:lang w:val="en-GB"/>
        </w:rPr>
        <w:t>Co</w:t>
      </w:r>
      <w:r w:rsidR="00290E3A" w:rsidRPr="000C74B1">
        <w:rPr>
          <w:color w:val="000000" w:themeColor="text1"/>
          <w:sz w:val="12"/>
          <w:szCs w:val="28"/>
          <w:lang w:val="en-GB"/>
        </w:rPr>
        <w:t>face</w:t>
      </w:r>
      <w:proofErr w:type="spellEnd"/>
      <w:r w:rsidR="00290E3A" w:rsidRPr="000C74B1">
        <w:rPr>
          <w:color w:val="000000" w:themeColor="text1"/>
          <w:sz w:val="12"/>
          <w:szCs w:val="28"/>
          <w:lang w:val="en-GB"/>
        </w:rPr>
        <w:t xml:space="preserve"> </w:t>
      </w:r>
      <w:r w:rsidR="000C74B1" w:rsidRPr="000C74B1">
        <w:rPr>
          <w:color w:val="000000" w:themeColor="text1"/>
          <w:sz w:val="12"/>
          <w:szCs w:val="28"/>
          <w:lang w:val="en-GB"/>
        </w:rPr>
        <w:t xml:space="preserve">Corporate </w:t>
      </w:r>
      <w:r w:rsidR="00290E3A" w:rsidRPr="000C74B1">
        <w:rPr>
          <w:color w:val="000000" w:themeColor="text1"/>
          <w:sz w:val="12"/>
          <w:szCs w:val="28"/>
          <w:lang w:val="en-GB"/>
        </w:rPr>
        <w:t>Payment Survey Germany 2022</w:t>
      </w:r>
    </w:p>
    <w:p w14:paraId="576D26FB" w14:textId="4CBCF61B" w:rsidR="00D524FD" w:rsidRPr="00360C59" w:rsidRDefault="00201566" w:rsidP="00D7256F">
      <w:pPr>
        <w:pStyle w:val="Listenabsatz"/>
        <w:numPr>
          <w:ilvl w:val="0"/>
          <w:numId w:val="1"/>
        </w:numPr>
        <w:spacing w:line="240" w:lineRule="auto"/>
        <w:jc w:val="both"/>
        <w:rPr>
          <w:color w:val="000000" w:themeColor="text1"/>
          <w:sz w:val="16"/>
          <w:szCs w:val="28"/>
          <w:lang w:val="en-GB"/>
        </w:rPr>
      </w:pPr>
      <w:r w:rsidRPr="00220455">
        <w:rPr>
          <w:color w:val="000000" w:themeColor="text1"/>
          <w:sz w:val="16"/>
          <w:szCs w:val="28"/>
          <w:lang w:val="en-GB"/>
        </w:rPr>
        <w:t>Companies’ assessment of t</w:t>
      </w:r>
      <w:r w:rsidR="006442F0" w:rsidRPr="00220455">
        <w:rPr>
          <w:color w:val="000000" w:themeColor="text1"/>
          <w:sz w:val="16"/>
          <w:szCs w:val="28"/>
          <w:lang w:val="en-GB"/>
        </w:rPr>
        <w:t xml:space="preserve">he </w:t>
      </w:r>
      <w:r w:rsidR="00FA59BE" w:rsidRPr="00220455">
        <w:rPr>
          <w:color w:val="000000" w:themeColor="text1"/>
          <w:sz w:val="16"/>
          <w:szCs w:val="28"/>
          <w:lang w:val="en-GB"/>
        </w:rPr>
        <w:t xml:space="preserve">economic </w:t>
      </w:r>
      <w:r w:rsidR="00D524FD" w:rsidRPr="00220455">
        <w:rPr>
          <w:color w:val="000000" w:themeColor="text1"/>
          <w:sz w:val="16"/>
          <w:szCs w:val="28"/>
          <w:lang w:val="en-GB"/>
        </w:rPr>
        <w:t xml:space="preserve">situation </w:t>
      </w:r>
      <w:r w:rsidR="00D871B0">
        <w:rPr>
          <w:color w:val="000000" w:themeColor="text1"/>
          <w:sz w:val="16"/>
          <w:szCs w:val="28"/>
          <w:lang w:val="en-GB"/>
        </w:rPr>
        <w:t>in 2022</w:t>
      </w:r>
      <w:r w:rsidR="00D524FD" w:rsidRPr="00220455">
        <w:rPr>
          <w:color w:val="000000" w:themeColor="text1"/>
          <w:sz w:val="16"/>
          <w:szCs w:val="28"/>
          <w:lang w:val="en-GB"/>
        </w:rPr>
        <w:t xml:space="preserve"> is relatively neutral compared to last year. 23% think that their situation has improved</w:t>
      </w:r>
      <w:r w:rsidR="00D871B0">
        <w:rPr>
          <w:color w:val="000000" w:themeColor="text1"/>
          <w:sz w:val="16"/>
          <w:szCs w:val="28"/>
          <w:lang w:val="en-GB"/>
        </w:rPr>
        <w:t xml:space="preserve"> compared to 2021,</w:t>
      </w:r>
      <w:r w:rsidR="00D524FD" w:rsidRPr="00220455">
        <w:rPr>
          <w:color w:val="000000" w:themeColor="text1"/>
          <w:sz w:val="16"/>
          <w:szCs w:val="28"/>
          <w:lang w:val="en-GB"/>
        </w:rPr>
        <w:t xml:space="preserve"> while 22% say it got worse. In total, t</w:t>
      </w:r>
      <w:r w:rsidR="00D871B0">
        <w:rPr>
          <w:color w:val="000000" w:themeColor="text1"/>
          <w:sz w:val="16"/>
          <w:szCs w:val="28"/>
          <w:lang w:val="en-GB"/>
        </w:rPr>
        <w:t>he balance of answers is with +</w:t>
      </w:r>
      <w:r w:rsidR="00D524FD" w:rsidRPr="00220455">
        <w:rPr>
          <w:color w:val="000000" w:themeColor="text1"/>
          <w:sz w:val="16"/>
          <w:szCs w:val="28"/>
          <w:lang w:val="en-GB"/>
        </w:rPr>
        <w:t>1 point therefore neutral</w:t>
      </w:r>
      <w:r w:rsidR="00220455" w:rsidRPr="00220455">
        <w:rPr>
          <w:color w:val="000000" w:themeColor="text1"/>
          <w:sz w:val="16"/>
          <w:szCs w:val="28"/>
          <w:lang w:val="en-GB"/>
        </w:rPr>
        <w:t xml:space="preserve"> </w:t>
      </w:r>
      <w:r w:rsidR="00220455" w:rsidRPr="00220455">
        <w:rPr>
          <w:b/>
          <w:color w:val="000000" w:themeColor="text1"/>
          <w:sz w:val="16"/>
          <w:szCs w:val="28"/>
          <w:lang w:val="en-GB"/>
        </w:rPr>
        <w:t>(Chart 8)</w:t>
      </w:r>
      <w:r w:rsidR="00220455" w:rsidRPr="00220455">
        <w:rPr>
          <w:color w:val="000000" w:themeColor="text1"/>
          <w:sz w:val="16"/>
          <w:szCs w:val="28"/>
          <w:lang w:val="en-GB"/>
        </w:rPr>
        <w:t>.</w:t>
      </w:r>
      <w:r w:rsidR="00D524FD" w:rsidRPr="00220455">
        <w:rPr>
          <w:color w:val="000000" w:themeColor="text1"/>
          <w:sz w:val="16"/>
          <w:szCs w:val="28"/>
          <w:lang w:val="en-GB"/>
        </w:rPr>
        <w:t xml:space="preserve"> Here, it is important to remember that there was a hard lockdown in Germany in the first months of </w:t>
      </w:r>
      <w:r w:rsidR="00D871B0">
        <w:rPr>
          <w:color w:val="000000" w:themeColor="text1"/>
          <w:sz w:val="16"/>
          <w:szCs w:val="28"/>
          <w:lang w:val="en-GB"/>
        </w:rPr>
        <w:t>2021</w:t>
      </w:r>
      <w:r w:rsidR="00D524FD" w:rsidRPr="00220455">
        <w:rPr>
          <w:color w:val="000000" w:themeColor="text1"/>
          <w:sz w:val="16"/>
          <w:szCs w:val="28"/>
          <w:lang w:val="en-GB"/>
        </w:rPr>
        <w:t xml:space="preserve"> and it took until late summer </w:t>
      </w:r>
      <w:proofErr w:type="gramStart"/>
      <w:r w:rsidR="00D871B0">
        <w:rPr>
          <w:color w:val="000000" w:themeColor="text1"/>
          <w:sz w:val="16"/>
          <w:szCs w:val="28"/>
          <w:lang w:val="en-GB"/>
        </w:rPr>
        <w:t xml:space="preserve">2021 </w:t>
      </w:r>
      <w:r w:rsidR="00D524FD" w:rsidRPr="00220455">
        <w:rPr>
          <w:color w:val="000000" w:themeColor="text1"/>
          <w:sz w:val="16"/>
          <w:szCs w:val="28"/>
          <w:lang w:val="en-GB"/>
        </w:rPr>
        <w:t xml:space="preserve"> </w:t>
      </w:r>
      <w:r w:rsidR="002443C4">
        <w:rPr>
          <w:color w:val="000000" w:themeColor="text1"/>
          <w:sz w:val="16"/>
          <w:szCs w:val="28"/>
          <w:lang w:val="en-GB"/>
        </w:rPr>
        <w:t>for</w:t>
      </w:r>
      <w:proofErr w:type="gramEnd"/>
      <w:r w:rsidR="002443C4">
        <w:rPr>
          <w:color w:val="000000" w:themeColor="text1"/>
          <w:sz w:val="16"/>
          <w:szCs w:val="28"/>
          <w:lang w:val="en-GB"/>
        </w:rPr>
        <w:t xml:space="preserve"> </w:t>
      </w:r>
      <w:r w:rsidR="00D524FD" w:rsidRPr="00220455">
        <w:rPr>
          <w:color w:val="000000" w:themeColor="text1"/>
          <w:sz w:val="16"/>
          <w:szCs w:val="28"/>
          <w:lang w:val="en-GB"/>
        </w:rPr>
        <w:t xml:space="preserve">all population groups </w:t>
      </w:r>
      <w:r w:rsidR="002443C4">
        <w:rPr>
          <w:color w:val="000000" w:themeColor="text1"/>
          <w:sz w:val="16"/>
          <w:szCs w:val="28"/>
          <w:lang w:val="en-GB"/>
        </w:rPr>
        <w:t xml:space="preserve">to </w:t>
      </w:r>
      <w:r w:rsidR="00D524FD" w:rsidRPr="00220455">
        <w:rPr>
          <w:color w:val="000000" w:themeColor="text1"/>
          <w:sz w:val="16"/>
          <w:szCs w:val="28"/>
          <w:lang w:val="en-GB"/>
        </w:rPr>
        <w:t>ha</w:t>
      </w:r>
      <w:r w:rsidR="002443C4">
        <w:rPr>
          <w:color w:val="000000" w:themeColor="text1"/>
          <w:sz w:val="16"/>
          <w:szCs w:val="28"/>
          <w:lang w:val="en-GB"/>
        </w:rPr>
        <w:t>ve</w:t>
      </w:r>
      <w:r w:rsidR="00D524FD" w:rsidRPr="00220455">
        <w:rPr>
          <w:color w:val="000000" w:themeColor="text1"/>
          <w:sz w:val="16"/>
          <w:szCs w:val="28"/>
          <w:lang w:val="en-GB"/>
        </w:rPr>
        <w:t xml:space="preserve"> access to vaccines. Therefore, the neutral le</w:t>
      </w:r>
      <w:r w:rsidR="00D871B0">
        <w:rPr>
          <w:color w:val="000000" w:themeColor="text1"/>
          <w:sz w:val="16"/>
          <w:szCs w:val="28"/>
          <w:lang w:val="en-GB"/>
        </w:rPr>
        <w:t>vel of 1 is not a positive sign, but shows that on average the economic situation remained the same</w:t>
      </w:r>
      <w:r w:rsidR="00EB45C8">
        <w:rPr>
          <w:color w:val="000000" w:themeColor="text1"/>
          <w:sz w:val="16"/>
          <w:szCs w:val="28"/>
          <w:lang w:val="en-GB"/>
        </w:rPr>
        <w:t xml:space="preserve"> in 2022 compared to 2021</w:t>
      </w:r>
      <w:r w:rsidR="00D871B0">
        <w:rPr>
          <w:color w:val="000000" w:themeColor="text1"/>
          <w:sz w:val="16"/>
          <w:szCs w:val="28"/>
          <w:lang w:val="en-GB"/>
        </w:rPr>
        <w:t>. To add to this</w:t>
      </w:r>
      <w:r w:rsidR="00D524FD" w:rsidRPr="00220455">
        <w:rPr>
          <w:color w:val="000000" w:themeColor="text1"/>
          <w:sz w:val="16"/>
          <w:szCs w:val="28"/>
          <w:lang w:val="en-GB"/>
        </w:rPr>
        <w:t>, companies</w:t>
      </w:r>
      <w:r w:rsidR="00D871B0">
        <w:rPr>
          <w:color w:val="000000" w:themeColor="text1"/>
          <w:sz w:val="16"/>
          <w:szCs w:val="28"/>
          <w:lang w:val="en-GB"/>
        </w:rPr>
        <w:t xml:space="preserve"> reported, they</w:t>
      </w:r>
      <w:r w:rsidR="00D524FD" w:rsidRPr="00220455">
        <w:rPr>
          <w:color w:val="000000" w:themeColor="text1"/>
          <w:sz w:val="16"/>
          <w:szCs w:val="28"/>
          <w:lang w:val="en-GB"/>
        </w:rPr>
        <w:t xml:space="preserve"> were never that pessimistic about the next year than in 2022</w:t>
      </w:r>
      <w:r w:rsidR="00D524FD" w:rsidRPr="00220455">
        <w:rPr>
          <w:rStyle w:val="Funotenzeichen"/>
          <w:color w:val="000000" w:themeColor="text1"/>
          <w:sz w:val="16"/>
          <w:szCs w:val="28"/>
          <w:lang w:val="en-GB"/>
        </w:rPr>
        <w:footnoteReference w:id="12"/>
      </w:r>
      <w:r w:rsidR="00D524FD" w:rsidRPr="00220455">
        <w:rPr>
          <w:color w:val="000000" w:themeColor="text1"/>
          <w:sz w:val="16"/>
          <w:szCs w:val="28"/>
          <w:lang w:val="en-GB"/>
        </w:rPr>
        <w:t xml:space="preserve">. 38% of </w:t>
      </w:r>
      <w:r w:rsidR="00D871B0">
        <w:rPr>
          <w:color w:val="000000" w:themeColor="text1"/>
          <w:sz w:val="16"/>
          <w:szCs w:val="28"/>
          <w:lang w:val="en-GB"/>
        </w:rPr>
        <w:t>the survey’s</w:t>
      </w:r>
      <w:r w:rsidR="00D524FD" w:rsidRPr="00220455">
        <w:rPr>
          <w:color w:val="000000" w:themeColor="text1"/>
          <w:sz w:val="16"/>
          <w:szCs w:val="28"/>
          <w:lang w:val="en-GB"/>
        </w:rPr>
        <w:t xml:space="preserve"> participants expect a deterioration of their business situation in 2023 compared to 14% who are optimistic for the coming year. Pessimism is observable in almost all sectors. The </w:t>
      </w:r>
      <w:r w:rsidR="00197567">
        <w:rPr>
          <w:color w:val="000000" w:themeColor="text1"/>
          <w:sz w:val="16"/>
          <w:szCs w:val="28"/>
          <w:lang w:val="en-GB"/>
        </w:rPr>
        <w:t xml:space="preserve">wood sector is on average the most pessimistic about its business future </w:t>
      </w:r>
      <w:r w:rsidR="00D524FD" w:rsidRPr="00220455">
        <w:rPr>
          <w:color w:val="000000" w:themeColor="text1"/>
          <w:sz w:val="16"/>
          <w:szCs w:val="28"/>
          <w:lang w:val="en-GB"/>
        </w:rPr>
        <w:t>(-60 points),</w:t>
      </w:r>
      <w:r w:rsidR="00197567">
        <w:rPr>
          <w:color w:val="000000" w:themeColor="text1"/>
          <w:sz w:val="16"/>
          <w:szCs w:val="28"/>
          <w:lang w:val="en-GB"/>
        </w:rPr>
        <w:t xml:space="preserve"> followed by</w:t>
      </w:r>
      <w:r w:rsidR="00D524FD" w:rsidRPr="00220455">
        <w:rPr>
          <w:color w:val="000000" w:themeColor="text1"/>
          <w:sz w:val="16"/>
          <w:szCs w:val="28"/>
          <w:lang w:val="en-GB"/>
        </w:rPr>
        <w:t xml:space="preserve"> the pharma-chemical sector (</w:t>
      </w:r>
      <w:r w:rsidR="00220455" w:rsidRPr="00220455">
        <w:rPr>
          <w:color w:val="000000" w:themeColor="text1"/>
          <w:sz w:val="16"/>
          <w:szCs w:val="28"/>
          <w:lang w:val="en-GB"/>
        </w:rPr>
        <w:t>-41 points), construction (-39 points) and retail-wholesale trade (-37 points). These sectors seem to be the one</w:t>
      </w:r>
      <w:r w:rsidR="002443C4">
        <w:rPr>
          <w:color w:val="000000" w:themeColor="text1"/>
          <w:sz w:val="16"/>
          <w:szCs w:val="28"/>
          <w:lang w:val="en-GB"/>
        </w:rPr>
        <w:t>s</w:t>
      </w:r>
      <w:r w:rsidR="00220455" w:rsidRPr="00220455">
        <w:rPr>
          <w:color w:val="000000" w:themeColor="text1"/>
          <w:sz w:val="16"/>
          <w:szCs w:val="28"/>
          <w:lang w:val="en-GB"/>
        </w:rPr>
        <w:t xml:space="preserve"> who suffer the most from the current draught in Germany, strong rising commodity and consumption prices as well as supply-</w:t>
      </w:r>
      <w:r w:rsidR="00EB45C8">
        <w:rPr>
          <w:color w:val="000000" w:themeColor="text1"/>
          <w:sz w:val="16"/>
          <w:szCs w:val="28"/>
          <w:lang w:val="en-GB"/>
        </w:rPr>
        <w:t>chain-</w:t>
      </w:r>
      <w:r w:rsidR="00220455" w:rsidRPr="00220455">
        <w:rPr>
          <w:color w:val="000000" w:themeColor="text1"/>
          <w:sz w:val="16"/>
          <w:szCs w:val="28"/>
          <w:lang w:val="en-GB"/>
        </w:rPr>
        <w:t xml:space="preserve">bottlenecks. The only two sectors who </w:t>
      </w:r>
      <w:r w:rsidR="00197567">
        <w:rPr>
          <w:color w:val="000000" w:themeColor="text1"/>
          <w:sz w:val="16"/>
          <w:szCs w:val="28"/>
          <w:lang w:val="en-GB"/>
        </w:rPr>
        <w:t>are a bit optimistic</w:t>
      </w:r>
      <w:r w:rsidR="00220455" w:rsidRPr="00220455">
        <w:rPr>
          <w:color w:val="000000" w:themeColor="text1"/>
          <w:sz w:val="16"/>
          <w:szCs w:val="28"/>
          <w:lang w:val="en-GB"/>
        </w:rPr>
        <w:t xml:space="preserve"> on average for the coming year are ICT (+5 points) and machinery (+5 points). </w:t>
      </w:r>
    </w:p>
    <w:p w14:paraId="171127E3" w14:textId="083A5689" w:rsidR="00F35542" w:rsidRPr="00C461D0" w:rsidRDefault="007670EB" w:rsidP="00694A19">
      <w:pPr>
        <w:pStyle w:val="Listenabsatz"/>
        <w:numPr>
          <w:ilvl w:val="0"/>
          <w:numId w:val="1"/>
        </w:numPr>
        <w:spacing w:line="240" w:lineRule="auto"/>
        <w:jc w:val="both"/>
        <w:rPr>
          <w:color w:val="000000" w:themeColor="text1"/>
          <w:sz w:val="16"/>
          <w:szCs w:val="28"/>
          <w:lang w:val="en-GB"/>
        </w:rPr>
      </w:pPr>
      <w:r w:rsidRPr="00360C59">
        <w:rPr>
          <w:color w:val="000000" w:themeColor="text1"/>
          <w:sz w:val="16"/>
          <w:szCs w:val="28"/>
          <w:lang w:val="en-GB"/>
        </w:rPr>
        <w:t>According to our survey results, t</w:t>
      </w:r>
      <w:r w:rsidR="002E70A1" w:rsidRPr="00360C59">
        <w:rPr>
          <w:color w:val="000000" w:themeColor="text1"/>
          <w:sz w:val="16"/>
          <w:szCs w:val="28"/>
          <w:lang w:val="en-GB"/>
        </w:rPr>
        <w:t xml:space="preserve">he main risk for export </w:t>
      </w:r>
      <w:r w:rsidR="00201566" w:rsidRPr="00360C59">
        <w:rPr>
          <w:color w:val="000000" w:themeColor="text1"/>
          <w:sz w:val="16"/>
          <w:szCs w:val="28"/>
          <w:lang w:val="en-GB"/>
        </w:rPr>
        <w:t xml:space="preserve">operations </w:t>
      </w:r>
      <w:r w:rsidR="002E70A1" w:rsidRPr="00360C59">
        <w:rPr>
          <w:color w:val="000000" w:themeColor="text1"/>
          <w:sz w:val="16"/>
          <w:szCs w:val="28"/>
          <w:lang w:val="en-GB"/>
        </w:rPr>
        <w:t>in 202</w:t>
      </w:r>
      <w:r w:rsidR="00F35542" w:rsidRPr="00360C59">
        <w:rPr>
          <w:color w:val="000000" w:themeColor="text1"/>
          <w:sz w:val="16"/>
          <w:szCs w:val="28"/>
          <w:lang w:val="en-GB"/>
        </w:rPr>
        <w:t>2</w:t>
      </w:r>
      <w:r w:rsidR="002E70A1" w:rsidRPr="00360C59">
        <w:rPr>
          <w:color w:val="000000" w:themeColor="text1"/>
          <w:sz w:val="16"/>
          <w:szCs w:val="28"/>
          <w:lang w:val="en-GB"/>
        </w:rPr>
        <w:t xml:space="preserve"> </w:t>
      </w:r>
      <w:r w:rsidR="00F35542" w:rsidRPr="00360C59">
        <w:rPr>
          <w:color w:val="000000" w:themeColor="text1"/>
          <w:sz w:val="16"/>
          <w:szCs w:val="28"/>
          <w:lang w:val="en-GB"/>
        </w:rPr>
        <w:t>remains</w:t>
      </w:r>
      <w:r w:rsidR="002E70A1" w:rsidRPr="00360C59">
        <w:rPr>
          <w:color w:val="000000" w:themeColor="text1"/>
          <w:sz w:val="16"/>
          <w:szCs w:val="28"/>
          <w:lang w:val="en-GB"/>
        </w:rPr>
        <w:t xml:space="preserve"> </w:t>
      </w:r>
      <w:r w:rsidR="0074315F" w:rsidRPr="00360C59">
        <w:rPr>
          <w:color w:val="000000" w:themeColor="text1"/>
          <w:sz w:val="16"/>
          <w:szCs w:val="28"/>
          <w:lang w:val="en-GB"/>
        </w:rPr>
        <w:t xml:space="preserve">disruptions of global production chains, which was </w:t>
      </w:r>
      <w:r w:rsidR="00201566" w:rsidRPr="00360C59">
        <w:rPr>
          <w:color w:val="000000" w:themeColor="text1"/>
          <w:sz w:val="16"/>
          <w:szCs w:val="28"/>
          <w:lang w:val="en-GB"/>
        </w:rPr>
        <w:t xml:space="preserve">cited </w:t>
      </w:r>
      <w:r w:rsidR="0074315F" w:rsidRPr="00360C59">
        <w:rPr>
          <w:color w:val="000000" w:themeColor="text1"/>
          <w:sz w:val="16"/>
          <w:szCs w:val="28"/>
          <w:lang w:val="en-GB"/>
        </w:rPr>
        <w:t xml:space="preserve">by </w:t>
      </w:r>
      <w:r w:rsidR="00F35542" w:rsidRPr="00360C59">
        <w:rPr>
          <w:color w:val="000000" w:themeColor="text1"/>
          <w:sz w:val="16"/>
          <w:szCs w:val="28"/>
          <w:lang w:val="en-GB"/>
        </w:rPr>
        <w:t>31</w:t>
      </w:r>
      <w:r w:rsidR="0074315F" w:rsidRPr="00360C59">
        <w:rPr>
          <w:color w:val="000000" w:themeColor="text1"/>
          <w:sz w:val="16"/>
          <w:szCs w:val="28"/>
          <w:lang w:val="en-GB"/>
        </w:rPr>
        <w:t>% of participants</w:t>
      </w:r>
      <w:r w:rsidR="0089078A" w:rsidRPr="00360C59">
        <w:rPr>
          <w:color w:val="000000" w:themeColor="text1"/>
          <w:sz w:val="16"/>
          <w:szCs w:val="28"/>
          <w:lang w:val="en-GB"/>
        </w:rPr>
        <w:t xml:space="preserve"> </w:t>
      </w:r>
      <w:r w:rsidR="0089078A" w:rsidRPr="00360C59">
        <w:rPr>
          <w:b/>
          <w:color w:val="000000" w:themeColor="text1"/>
          <w:sz w:val="16"/>
          <w:szCs w:val="28"/>
          <w:lang w:val="en-GB"/>
        </w:rPr>
        <w:t>(Chart 9)</w:t>
      </w:r>
      <w:r w:rsidR="0074315F" w:rsidRPr="00360C59">
        <w:rPr>
          <w:color w:val="000000" w:themeColor="text1"/>
          <w:sz w:val="16"/>
          <w:szCs w:val="28"/>
          <w:lang w:val="en-GB"/>
        </w:rPr>
        <w:t>. Rising non-</w:t>
      </w:r>
      <w:r w:rsidR="00F35542" w:rsidRPr="00360C59">
        <w:rPr>
          <w:color w:val="000000" w:themeColor="text1"/>
          <w:sz w:val="16"/>
          <w:szCs w:val="28"/>
          <w:lang w:val="en-GB"/>
        </w:rPr>
        <w:t>energy</w:t>
      </w:r>
      <w:r w:rsidR="0074315F" w:rsidRPr="00360C59">
        <w:rPr>
          <w:color w:val="000000" w:themeColor="text1"/>
          <w:sz w:val="16"/>
          <w:szCs w:val="28"/>
          <w:lang w:val="en-GB"/>
        </w:rPr>
        <w:t xml:space="preserve"> commodity </w:t>
      </w:r>
      <w:r w:rsidR="00EB45C8">
        <w:rPr>
          <w:color w:val="000000" w:themeColor="text1"/>
          <w:sz w:val="16"/>
          <w:szCs w:val="28"/>
          <w:lang w:val="en-GB"/>
        </w:rPr>
        <w:t>costs were</w:t>
      </w:r>
      <w:r w:rsidR="00F35542" w:rsidRPr="00360C59">
        <w:rPr>
          <w:color w:val="000000" w:themeColor="text1"/>
          <w:sz w:val="16"/>
          <w:szCs w:val="28"/>
          <w:lang w:val="en-GB"/>
        </w:rPr>
        <w:t xml:space="preserve"> already in 2021</w:t>
      </w:r>
      <w:r w:rsidR="0074315F" w:rsidRPr="00360C59">
        <w:rPr>
          <w:color w:val="000000" w:themeColor="text1"/>
          <w:sz w:val="16"/>
          <w:szCs w:val="28"/>
          <w:lang w:val="en-GB"/>
        </w:rPr>
        <w:t xml:space="preserve"> a big topic</w:t>
      </w:r>
      <w:r w:rsidR="00F35542" w:rsidRPr="00360C59">
        <w:rPr>
          <w:color w:val="000000" w:themeColor="text1"/>
          <w:sz w:val="16"/>
          <w:szCs w:val="28"/>
          <w:lang w:val="en-GB"/>
        </w:rPr>
        <w:t xml:space="preserve"> and remained it </w:t>
      </w:r>
      <w:r w:rsidR="009F4BF2">
        <w:rPr>
          <w:color w:val="000000" w:themeColor="text1"/>
          <w:sz w:val="16"/>
          <w:szCs w:val="28"/>
          <w:lang w:val="en-GB"/>
        </w:rPr>
        <w:lastRenderedPageBreak/>
        <w:t xml:space="preserve">in 2022 </w:t>
      </w:r>
      <w:r w:rsidR="00F35542" w:rsidRPr="00360C59">
        <w:rPr>
          <w:color w:val="000000" w:themeColor="text1"/>
          <w:sz w:val="16"/>
          <w:szCs w:val="28"/>
          <w:lang w:val="en-GB"/>
        </w:rPr>
        <w:t xml:space="preserve">with 20% of the answers. New on the global stage </w:t>
      </w:r>
      <w:r w:rsidR="00EB45C8">
        <w:rPr>
          <w:color w:val="000000" w:themeColor="text1"/>
          <w:sz w:val="16"/>
          <w:szCs w:val="28"/>
          <w:lang w:val="en-GB"/>
        </w:rPr>
        <w:t>are</w:t>
      </w:r>
      <w:r w:rsidR="00F35542" w:rsidRPr="00360C59">
        <w:rPr>
          <w:color w:val="000000" w:themeColor="text1"/>
          <w:sz w:val="16"/>
          <w:szCs w:val="28"/>
          <w:lang w:val="en-GB"/>
        </w:rPr>
        <w:t xml:space="preserve"> however the risk of the war in Ukraine and the related sanctions around it worldwide (15%)</w:t>
      </w:r>
      <w:r w:rsidR="002443C4">
        <w:rPr>
          <w:color w:val="000000" w:themeColor="text1"/>
          <w:sz w:val="16"/>
          <w:szCs w:val="28"/>
          <w:lang w:val="en-GB"/>
        </w:rPr>
        <w:t>,</w:t>
      </w:r>
      <w:r w:rsidR="00F35542" w:rsidRPr="00360C59">
        <w:rPr>
          <w:color w:val="000000" w:themeColor="text1"/>
          <w:sz w:val="16"/>
          <w:szCs w:val="28"/>
          <w:lang w:val="en-GB"/>
        </w:rPr>
        <w:t xml:space="preserve"> followed by the strong price increase of crude oil and gas, which seemed to be </w:t>
      </w:r>
      <w:r w:rsidR="009F4BF2">
        <w:rPr>
          <w:color w:val="000000" w:themeColor="text1"/>
          <w:sz w:val="16"/>
          <w:szCs w:val="28"/>
          <w:lang w:val="en-GB"/>
        </w:rPr>
        <w:t>a minor</w:t>
      </w:r>
      <w:r w:rsidR="00F35542" w:rsidRPr="00360C59">
        <w:rPr>
          <w:color w:val="000000" w:themeColor="text1"/>
          <w:sz w:val="16"/>
          <w:szCs w:val="28"/>
          <w:lang w:val="en-GB"/>
        </w:rPr>
        <w:t xml:space="preserve"> topic in the summer </w:t>
      </w:r>
      <w:r w:rsidR="00F35542" w:rsidRPr="00C461D0">
        <w:rPr>
          <w:color w:val="000000" w:themeColor="text1"/>
          <w:sz w:val="16"/>
          <w:szCs w:val="28"/>
          <w:lang w:val="en-GB"/>
        </w:rPr>
        <w:t xml:space="preserve">of 2021 but is </w:t>
      </w:r>
      <w:r w:rsidR="00360C59" w:rsidRPr="00C461D0">
        <w:rPr>
          <w:color w:val="000000" w:themeColor="text1"/>
          <w:sz w:val="16"/>
          <w:szCs w:val="28"/>
          <w:lang w:val="en-GB"/>
        </w:rPr>
        <w:t xml:space="preserve">now all the more important (9%). Although the COVID-19 pandemic is far from over, the companies expect now that </w:t>
      </w:r>
      <w:r w:rsidR="009F4BF2">
        <w:rPr>
          <w:color w:val="000000" w:themeColor="text1"/>
          <w:sz w:val="16"/>
          <w:szCs w:val="28"/>
          <w:lang w:val="en-GB"/>
        </w:rPr>
        <w:t>its</w:t>
      </w:r>
      <w:r w:rsidR="00360C59" w:rsidRPr="00C461D0">
        <w:rPr>
          <w:color w:val="000000" w:themeColor="text1"/>
          <w:sz w:val="16"/>
          <w:szCs w:val="28"/>
          <w:lang w:val="en-GB"/>
        </w:rPr>
        <w:t xml:space="preserve"> impact to their export business is limited. In addition, “older” risks to trade, such as the shortage of computer chips or the decrease in Chinese demand</w:t>
      </w:r>
      <w:r w:rsidR="002443C4">
        <w:rPr>
          <w:color w:val="000000" w:themeColor="text1"/>
          <w:sz w:val="16"/>
          <w:szCs w:val="28"/>
          <w:lang w:val="en-GB"/>
        </w:rPr>
        <w:t xml:space="preserve"> (despite the sharp slowdown in Chinese growth in 2022)</w:t>
      </w:r>
      <w:r w:rsidR="00360C59" w:rsidRPr="00C461D0">
        <w:rPr>
          <w:color w:val="000000" w:themeColor="text1"/>
          <w:sz w:val="16"/>
          <w:szCs w:val="28"/>
          <w:lang w:val="en-GB"/>
        </w:rPr>
        <w:t xml:space="preserve"> were only named tentatively. On the other side, however, several participants answered in the </w:t>
      </w:r>
      <w:r w:rsidR="009F4BF2">
        <w:rPr>
          <w:color w:val="000000" w:themeColor="text1"/>
          <w:sz w:val="16"/>
          <w:szCs w:val="28"/>
          <w:lang w:val="en-GB"/>
        </w:rPr>
        <w:t>comments to this question</w:t>
      </w:r>
      <w:r w:rsidR="00360C59" w:rsidRPr="00C461D0">
        <w:rPr>
          <w:color w:val="000000" w:themeColor="text1"/>
          <w:sz w:val="16"/>
          <w:szCs w:val="28"/>
          <w:lang w:val="en-GB"/>
        </w:rPr>
        <w:t xml:space="preserve"> that they could not decide what the main risk for their export business is as actually all of them are </w:t>
      </w:r>
      <w:r w:rsidR="009F4BF2">
        <w:rPr>
          <w:color w:val="000000" w:themeColor="text1"/>
          <w:sz w:val="16"/>
          <w:szCs w:val="28"/>
          <w:lang w:val="en-GB"/>
        </w:rPr>
        <w:t>important.</w:t>
      </w:r>
      <w:r w:rsidR="00360C59" w:rsidRPr="00C461D0">
        <w:rPr>
          <w:color w:val="000000" w:themeColor="text1"/>
          <w:sz w:val="16"/>
          <w:szCs w:val="28"/>
          <w:lang w:val="en-GB"/>
        </w:rPr>
        <w:t xml:space="preserve"> </w:t>
      </w:r>
    </w:p>
    <w:p w14:paraId="69B6CB7E" w14:textId="51485E0F" w:rsidR="00360C59" w:rsidRPr="00C461D0" w:rsidRDefault="00966988" w:rsidP="0089078A">
      <w:pPr>
        <w:pStyle w:val="Listenabsatz"/>
        <w:numPr>
          <w:ilvl w:val="0"/>
          <w:numId w:val="1"/>
        </w:numPr>
        <w:spacing w:line="240" w:lineRule="auto"/>
        <w:jc w:val="both"/>
        <w:rPr>
          <w:color w:val="000000" w:themeColor="text1"/>
          <w:sz w:val="16"/>
          <w:szCs w:val="28"/>
          <w:lang w:val="en-GB"/>
        </w:rPr>
      </w:pPr>
      <w:r w:rsidRPr="00C461D0">
        <w:rPr>
          <w:color w:val="000000" w:themeColor="text1"/>
          <w:sz w:val="16"/>
          <w:szCs w:val="28"/>
          <w:lang w:val="en-GB"/>
        </w:rPr>
        <w:t>In 202</w:t>
      </w:r>
      <w:r w:rsidR="00360C59" w:rsidRPr="00C461D0">
        <w:rPr>
          <w:color w:val="000000" w:themeColor="text1"/>
          <w:sz w:val="16"/>
          <w:szCs w:val="28"/>
          <w:lang w:val="en-GB"/>
        </w:rPr>
        <w:t>2</w:t>
      </w:r>
      <w:r w:rsidRPr="00C461D0">
        <w:rPr>
          <w:color w:val="000000" w:themeColor="text1"/>
          <w:sz w:val="16"/>
          <w:szCs w:val="28"/>
          <w:lang w:val="en-GB"/>
        </w:rPr>
        <w:t xml:space="preserve">, Germany remains the country </w:t>
      </w:r>
      <w:r w:rsidR="00036D67" w:rsidRPr="00C461D0">
        <w:rPr>
          <w:color w:val="000000" w:themeColor="text1"/>
          <w:sz w:val="16"/>
          <w:szCs w:val="28"/>
          <w:lang w:val="en-GB"/>
        </w:rPr>
        <w:t xml:space="preserve">presenting </w:t>
      </w:r>
      <w:r w:rsidRPr="00C461D0">
        <w:rPr>
          <w:color w:val="000000" w:themeColor="text1"/>
          <w:sz w:val="16"/>
          <w:szCs w:val="28"/>
          <w:lang w:val="en-GB"/>
        </w:rPr>
        <w:t xml:space="preserve">the biggest opportunities </w:t>
      </w:r>
      <w:r w:rsidR="00036D67" w:rsidRPr="00C461D0">
        <w:rPr>
          <w:color w:val="000000" w:themeColor="text1"/>
          <w:sz w:val="16"/>
          <w:szCs w:val="28"/>
          <w:lang w:val="en-GB"/>
        </w:rPr>
        <w:t>for surveyed companies</w:t>
      </w:r>
      <w:r w:rsidRPr="00C461D0">
        <w:rPr>
          <w:color w:val="000000" w:themeColor="text1"/>
          <w:sz w:val="16"/>
          <w:szCs w:val="28"/>
          <w:lang w:val="en-GB"/>
        </w:rPr>
        <w:t xml:space="preserve"> (unsurprisingly, as 6</w:t>
      </w:r>
      <w:r w:rsidR="00360C59" w:rsidRPr="00C461D0">
        <w:rPr>
          <w:color w:val="000000" w:themeColor="text1"/>
          <w:sz w:val="16"/>
          <w:szCs w:val="28"/>
          <w:lang w:val="en-GB"/>
        </w:rPr>
        <w:t>9</w:t>
      </w:r>
      <w:r w:rsidRPr="00C461D0">
        <w:rPr>
          <w:color w:val="000000" w:themeColor="text1"/>
          <w:sz w:val="16"/>
          <w:szCs w:val="28"/>
          <w:lang w:val="en-GB"/>
        </w:rPr>
        <w:t>% of respondents are mainly</w:t>
      </w:r>
      <w:r w:rsidR="009F4BF2">
        <w:rPr>
          <w:color w:val="000000" w:themeColor="text1"/>
          <w:sz w:val="16"/>
          <w:szCs w:val="28"/>
          <w:lang w:val="en-GB"/>
        </w:rPr>
        <w:t xml:space="preserve"> active</w:t>
      </w:r>
      <w:r w:rsidRPr="00C461D0">
        <w:rPr>
          <w:color w:val="000000" w:themeColor="text1"/>
          <w:sz w:val="16"/>
          <w:szCs w:val="28"/>
          <w:lang w:val="en-GB"/>
        </w:rPr>
        <w:t xml:space="preserve"> on the German market). The importance of Germany has </w:t>
      </w:r>
      <w:r w:rsidR="0089078A" w:rsidRPr="00C461D0">
        <w:rPr>
          <w:color w:val="000000" w:themeColor="text1"/>
          <w:sz w:val="16"/>
          <w:szCs w:val="28"/>
          <w:lang w:val="en-GB"/>
        </w:rPr>
        <w:t>howe</w:t>
      </w:r>
      <w:r w:rsidR="00360C59" w:rsidRPr="00C461D0">
        <w:rPr>
          <w:color w:val="000000" w:themeColor="text1"/>
          <w:sz w:val="16"/>
          <w:szCs w:val="28"/>
          <w:lang w:val="en-GB"/>
        </w:rPr>
        <w:t>ver decreased from 91% in 2020 over</w:t>
      </w:r>
      <w:r w:rsidR="0089078A" w:rsidRPr="00C461D0">
        <w:rPr>
          <w:color w:val="000000" w:themeColor="text1"/>
          <w:sz w:val="16"/>
          <w:szCs w:val="28"/>
          <w:lang w:val="en-GB"/>
        </w:rPr>
        <w:t xml:space="preserve"> 85% in 2021</w:t>
      </w:r>
      <w:r w:rsidR="00360C59" w:rsidRPr="00C461D0">
        <w:rPr>
          <w:color w:val="000000" w:themeColor="text1"/>
          <w:sz w:val="16"/>
          <w:szCs w:val="28"/>
          <w:lang w:val="en-GB"/>
        </w:rPr>
        <w:t xml:space="preserve"> down to 83% in 2022 (before the pandemic it was 81% in 2019)</w:t>
      </w:r>
      <w:r w:rsidR="0067351F" w:rsidRPr="00C461D0">
        <w:rPr>
          <w:rStyle w:val="Funotenzeichen"/>
          <w:color w:val="000000" w:themeColor="text1"/>
          <w:sz w:val="16"/>
          <w:szCs w:val="28"/>
          <w:lang w:val="en-GB"/>
        </w:rPr>
        <w:footnoteReference w:id="13"/>
      </w:r>
      <w:r w:rsidR="008A41B8" w:rsidRPr="00C461D0">
        <w:rPr>
          <w:color w:val="000000" w:themeColor="text1"/>
          <w:sz w:val="16"/>
          <w:szCs w:val="28"/>
          <w:lang w:val="en-GB"/>
        </w:rPr>
        <w:t xml:space="preserve"> </w:t>
      </w:r>
      <w:r w:rsidR="008A41B8" w:rsidRPr="00C461D0">
        <w:rPr>
          <w:b/>
          <w:color w:val="000000" w:themeColor="text1"/>
          <w:sz w:val="16"/>
          <w:szCs w:val="28"/>
          <w:lang w:val="en-GB"/>
        </w:rPr>
        <w:t>(Chart 10)</w:t>
      </w:r>
      <w:r w:rsidR="0089078A" w:rsidRPr="00C461D0">
        <w:rPr>
          <w:color w:val="000000" w:themeColor="text1"/>
          <w:sz w:val="16"/>
          <w:szCs w:val="28"/>
          <w:lang w:val="en-GB"/>
        </w:rPr>
        <w:t xml:space="preserve">. </w:t>
      </w:r>
      <w:r w:rsidR="00FF0B04" w:rsidRPr="00C461D0">
        <w:rPr>
          <w:color w:val="000000" w:themeColor="text1"/>
          <w:sz w:val="16"/>
          <w:szCs w:val="28"/>
          <w:lang w:val="en-GB"/>
        </w:rPr>
        <w:t>One reason for t</w:t>
      </w:r>
      <w:r w:rsidR="009F4BF2">
        <w:rPr>
          <w:color w:val="000000" w:themeColor="text1"/>
          <w:sz w:val="16"/>
          <w:szCs w:val="28"/>
          <w:lang w:val="en-GB"/>
        </w:rPr>
        <w:t>his decrease</w:t>
      </w:r>
      <w:r w:rsidR="00FF0B04" w:rsidRPr="00C461D0">
        <w:rPr>
          <w:color w:val="000000" w:themeColor="text1"/>
          <w:sz w:val="16"/>
          <w:szCs w:val="28"/>
          <w:lang w:val="en-GB"/>
        </w:rPr>
        <w:t xml:space="preserve"> could be the ongoing normalization process after the safe-haven effect from the </w:t>
      </w:r>
      <w:r w:rsidR="009F4BF2">
        <w:rPr>
          <w:color w:val="000000" w:themeColor="text1"/>
          <w:sz w:val="16"/>
          <w:szCs w:val="28"/>
          <w:lang w:val="en-GB"/>
        </w:rPr>
        <w:t xml:space="preserve">COVID-19 </w:t>
      </w:r>
      <w:r w:rsidR="00FF0B04" w:rsidRPr="00C461D0">
        <w:rPr>
          <w:color w:val="000000" w:themeColor="text1"/>
          <w:sz w:val="16"/>
          <w:szCs w:val="28"/>
          <w:lang w:val="en-GB"/>
        </w:rPr>
        <w:t>pandemic (during a major crisis, companies tend to do more business on their home market than abroad, because they have a better overview of the situation). However, this year another trend is also visible. Less people see their business opportunities in the EU, but more in the EFTA countries</w:t>
      </w:r>
      <w:r w:rsidR="009F4BF2">
        <w:rPr>
          <w:rStyle w:val="Funotenzeichen"/>
          <w:color w:val="000000" w:themeColor="text1"/>
          <w:sz w:val="16"/>
          <w:szCs w:val="28"/>
          <w:lang w:val="en-GB"/>
        </w:rPr>
        <w:footnoteReference w:id="14"/>
      </w:r>
      <w:r w:rsidR="00FF0B04" w:rsidRPr="00C461D0">
        <w:rPr>
          <w:color w:val="000000" w:themeColor="text1"/>
          <w:sz w:val="16"/>
          <w:szCs w:val="28"/>
          <w:lang w:val="en-GB"/>
        </w:rPr>
        <w:t xml:space="preserve"> and in Eastern Europe outside of the</w:t>
      </w:r>
      <w:r w:rsidR="00FF0B04">
        <w:rPr>
          <w:color w:val="000000" w:themeColor="text1"/>
          <w:sz w:val="16"/>
          <w:szCs w:val="28"/>
          <w:lang w:val="en-GB"/>
        </w:rPr>
        <w:t xml:space="preserve"> EU. The strong sanctions and countersanctions between the EU and Russia could be the main reason for that and the </w:t>
      </w:r>
      <w:r w:rsidR="00FF0B04" w:rsidRPr="00C461D0">
        <w:rPr>
          <w:color w:val="000000" w:themeColor="text1"/>
          <w:sz w:val="16"/>
          <w:szCs w:val="28"/>
          <w:lang w:val="en-GB"/>
        </w:rPr>
        <w:t xml:space="preserve">attempt to circumvent them. Outside of Europe, the US seems to be more attractive in our survey than China, which </w:t>
      </w:r>
      <w:r w:rsidR="00C411F7" w:rsidRPr="00C461D0">
        <w:rPr>
          <w:color w:val="000000" w:themeColor="text1"/>
          <w:sz w:val="16"/>
          <w:szCs w:val="28"/>
          <w:lang w:val="en-GB"/>
        </w:rPr>
        <w:t xml:space="preserve">could be a reaction to the deterioration of the economic outlook for China or the new tensions between China and the US around their relationship with Taiwan. </w:t>
      </w:r>
    </w:p>
    <w:p w14:paraId="38B38A9D" w14:textId="41166863" w:rsidR="00C411F7" w:rsidRPr="00C461D0" w:rsidRDefault="00C411F7" w:rsidP="00FC5768">
      <w:pPr>
        <w:pStyle w:val="Listenabsatz"/>
        <w:numPr>
          <w:ilvl w:val="0"/>
          <w:numId w:val="1"/>
        </w:numPr>
        <w:spacing w:line="240" w:lineRule="auto"/>
        <w:jc w:val="both"/>
        <w:rPr>
          <w:color w:val="000000" w:themeColor="text1"/>
          <w:sz w:val="16"/>
          <w:szCs w:val="28"/>
          <w:lang w:val="en-GB"/>
        </w:rPr>
      </w:pPr>
      <w:r w:rsidRPr="00C461D0">
        <w:rPr>
          <w:color w:val="000000" w:themeColor="text1"/>
          <w:sz w:val="16"/>
          <w:szCs w:val="28"/>
          <w:lang w:val="en-GB"/>
        </w:rPr>
        <w:t>After more than two years of pandemic, Germany seems on the edge for another recession. The question however remains</w:t>
      </w:r>
      <w:r w:rsidR="009F4BF2">
        <w:rPr>
          <w:color w:val="000000" w:themeColor="text1"/>
          <w:sz w:val="16"/>
          <w:szCs w:val="28"/>
          <w:lang w:val="en-GB"/>
        </w:rPr>
        <w:t>,</w:t>
      </w:r>
      <w:r w:rsidRPr="00C461D0">
        <w:rPr>
          <w:color w:val="000000" w:themeColor="text1"/>
          <w:sz w:val="16"/>
          <w:szCs w:val="28"/>
          <w:lang w:val="en-GB"/>
        </w:rPr>
        <w:t xml:space="preserve"> in which cond</w:t>
      </w:r>
      <w:r w:rsidR="009F4BF2">
        <w:rPr>
          <w:color w:val="000000" w:themeColor="text1"/>
          <w:sz w:val="16"/>
          <w:szCs w:val="28"/>
          <w:lang w:val="en-GB"/>
        </w:rPr>
        <w:t>ition German companies enter these</w:t>
      </w:r>
      <w:r w:rsidRPr="00C461D0">
        <w:rPr>
          <w:color w:val="000000" w:themeColor="text1"/>
          <w:sz w:val="16"/>
          <w:szCs w:val="28"/>
          <w:lang w:val="en-GB"/>
        </w:rPr>
        <w:t xml:space="preserve"> difficult times. What</w:t>
      </w:r>
      <w:r w:rsidR="00EB45C8">
        <w:rPr>
          <w:color w:val="000000" w:themeColor="text1"/>
          <w:sz w:val="16"/>
          <w:szCs w:val="28"/>
          <w:lang w:val="en-GB"/>
        </w:rPr>
        <w:t xml:space="preserve"> burdens remain from the </w:t>
      </w:r>
      <w:r w:rsidR="00FC5768">
        <w:rPr>
          <w:color w:val="000000" w:themeColor="text1"/>
          <w:sz w:val="16"/>
          <w:szCs w:val="28"/>
          <w:lang w:val="en-GB"/>
        </w:rPr>
        <w:t xml:space="preserve">COVID-19 </w:t>
      </w:r>
      <w:r w:rsidRPr="00C461D0">
        <w:rPr>
          <w:color w:val="000000" w:themeColor="text1"/>
          <w:sz w:val="16"/>
          <w:szCs w:val="28"/>
          <w:lang w:val="en-GB"/>
        </w:rPr>
        <w:t>crisis? Between summer 2021 and this summer still 30% of the participants took advantage of State aid connected with the COVID-19 crisis (down from 48% in 2021</w:t>
      </w:r>
      <w:r w:rsidR="009F4BF2">
        <w:rPr>
          <w:color w:val="000000" w:themeColor="text1"/>
          <w:sz w:val="16"/>
          <w:szCs w:val="28"/>
          <w:lang w:val="en-GB"/>
        </w:rPr>
        <w:t>)</w:t>
      </w:r>
      <w:r w:rsidRPr="00C461D0">
        <w:rPr>
          <w:color w:val="000000" w:themeColor="text1"/>
          <w:sz w:val="16"/>
          <w:szCs w:val="28"/>
          <w:lang w:val="en-GB"/>
        </w:rPr>
        <w:t>. Even in the last three months between March an</w:t>
      </w:r>
      <w:r w:rsidR="009F4BF2">
        <w:rPr>
          <w:color w:val="000000" w:themeColor="text1"/>
          <w:sz w:val="16"/>
          <w:szCs w:val="28"/>
          <w:lang w:val="en-GB"/>
        </w:rPr>
        <w:t>d June 2022 still 25% used the S</w:t>
      </w:r>
      <w:r w:rsidRPr="00C461D0">
        <w:rPr>
          <w:color w:val="000000" w:themeColor="text1"/>
          <w:sz w:val="16"/>
          <w:szCs w:val="28"/>
          <w:lang w:val="en-GB"/>
        </w:rPr>
        <w:t xml:space="preserve">tate support, which </w:t>
      </w:r>
      <w:r w:rsidR="009F4BF2">
        <w:rPr>
          <w:color w:val="000000" w:themeColor="text1"/>
          <w:sz w:val="16"/>
          <w:szCs w:val="28"/>
          <w:lang w:val="en-GB"/>
        </w:rPr>
        <w:t xml:space="preserve">terminated </w:t>
      </w:r>
      <w:r w:rsidR="00B52434" w:rsidRPr="00C461D0">
        <w:rPr>
          <w:color w:val="000000" w:themeColor="text1"/>
          <w:sz w:val="16"/>
          <w:szCs w:val="28"/>
          <w:lang w:val="en-GB"/>
        </w:rPr>
        <w:t xml:space="preserve">at the end of </w:t>
      </w:r>
      <w:r w:rsidRPr="00C461D0">
        <w:rPr>
          <w:color w:val="000000" w:themeColor="text1"/>
          <w:sz w:val="16"/>
          <w:szCs w:val="28"/>
          <w:lang w:val="en-GB"/>
        </w:rPr>
        <w:t>June 2022.</w:t>
      </w:r>
      <w:r w:rsidR="005E1C5A" w:rsidRPr="00C461D0">
        <w:rPr>
          <w:color w:val="000000" w:themeColor="text1"/>
          <w:sz w:val="16"/>
          <w:szCs w:val="28"/>
          <w:lang w:val="en-GB"/>
        </w:rPr>
        <w:t xml:space="preserve"> </w:t>
      </w:r>
      <w:r w:rsidR="009F4BF2">
        <w:rPr>
          <w:color w:val="000000" w:themeColor="text1"/>
          <w:sz w:val="16"/>
          <w:szCs w:val="28"/>
          <w:lang w:val="en-GB"/>
        </w:rPr>
        <w:t>This year,</w:t>
      </w:r>
      <w:r w:rsidR="005E1C5A" w:rsidRPr="00C461D0">
        <w:rPr>
          <w:color w:val="000000" w:themeColor="text1"/>
          <w:sz w:val="16"/>
          <w:szCs w:val="28"/>
          <w:lang w:val="en-GB"/>
        </w:rPr>
        <w:t xml:space="preserve"> the most popular </w:t>
      </w:r>
      <w:r w:rsidR="009F4BF2">
        <w:rPr>
          <w:color w:val="000000" w:themeColor="text1"/>
          <w:sz w:val="16"/>
          <w:szCs w:val="28"/>
          <w:lang w:val="en-GB"/>
        </w:rPr>
        <w:t xml:space="preserve">support </w:t>
      </w:r>
      <w:r w:rsidR="005E1C5A" w:rsidRPr="00C461D0">
        <w:rPr>
          <w:color w:val="000000" w:themeColor="text1"/>
          <w:sz w:val="16"/>
          <w:szCs w:val="28"/>
          <w:lang w:val="en-GB"/>
        </w:rPr>
        <w:t xml:space="preserve">measure remained the furlough scheme. </w:t>
      </w:r>
      <w:r w:rsidR="00B52434" w:rsidRPr="00C461D0">
        <w:rPr>
          <w:color w:val="000000" w:themeColor="text1"/>
          <w:sz w:val="16"/>
          <w:szCs w:val="28"/>
          <w:lang w:val="en-GB"/>
        </w:rPr>
        <w:t>P</w:t>
      </w:r>
      <w:r w:rsidR="005E1C5A" w:rsidRPr="00C461D0">
        <w:rPr>
          <w:color w:val="000000" w:themeColor="text1"/>
          <w:sz w:val="16"/>
          <w:szCs w:val="28"/>
          <w:lang w:val="en-GB"/>
        </w:rPr>
        <w:t>robably due to the economic recovery</w:t>
      </w:r>
      <w:r w:rsidR="009F4BF2">
        <w:rPr>
          <w:color w:val="000000" w:themeColor="text1"/>
          <w:sz w:val="16"/>
          <w:szCs w:val="28"/>
          <w:lang w:val="en-GB"/>
        </w:rPr>
        <w:t xml:space="preserve"> from the pandemic</w:t>
      </w:r>
      <w:r w:rsidR="005E1C5A" w:rsidRPr="00C461D0">
        <w:rPr>
          <w:color w:val="000000" w:themeColor="text1"/>
          <w:sz w:val="16"/>
          <w:szCs w:val="28"/>
          <w:lang w:val="en-GB"/>
        </w:rPr>
        <w:t xml:space="preserve"> only 75% of the participants, who used State aid, applied </w:t>
      </w:r>
      <w:r w:rsidR="00EB45C8">
        <w:rPr>
          <w:color w:val="000000" w:themeColor="text1"/>
          <w:sz w:val="16"/>
          <w:szCs w:val="28"/>
          <w:lang w:val="en-GB"/>
        </w:rPr>
        <w:t>anymore</w:t>
      </w:r>
      <w:r w:rsidR="00EB45C8" w:rsidRPr="00C461D0">
        <w:rPr>
          <w:color w:val="000000" w:themeColor="text1"/>
          <w:sz w:val="16"/>
          <w:szCs w:val="28"/>
          <w:lang w:val="en-GB"/>
        </w:rPr>
        <w:t xml:space="preserve"> </w:t>
      </w:r>
      <w:r w:rsidR="005E1C5A" w:rsidRPr="00C461D0">
        <w:rPr>
          <w:color w:val="000000" w:themeColor="text1"/>
          <w:sz w:val="16"/>
          <w:szCs w:val="28"/>
          <w:lang w:val="en-GB"/>
        </w:rPr>
        <w:t xml:space="preserve">for </w:t>
      </w:r>
      <w:r w:rsidR="009F4BF2">
        <w:rPr>
          <w:color w:val="000000" w:themeColor="text1"/>
          <w:sz w:val="16"/>
          <w:szCs w:val="28"/>
          <w:lang w:val="en-GB"/>
        </w:rPr>
        <w:t xml:space="preserve">furlough </w:t>
      </w:r>
      <w:r w:rsidR="00B52434" w:rsidRPr="00C461D0">
        <w:rPr>
          <w:color w:val="000000" w:themeColor="text1"/>
          <w:sz w:val="16"/>
          <w:szCs w:val="28"/>
          <w:lang w:val="en-GB"/>
        </w:rPr>
        <w:t>in 2022</w:t>
      </w:r>
      <w:r w:rsidR="005E1C5A" w:rsidRPr="00C461D0">
        <w:rPr>
          <w:color w:val="000000" w:themeColor="text1"/>
          <w:sz w:val="16"/>
          <w:szCs w:val="28"/>
          <w:lang w:val="en-GB"/>
        </w:rPr>
        <w:t xml:space="preserve"> </w:t>
      </w:r>
      <w:r w:rsidR="005E1C5A" w:rsidRPr="00C461D0">
        <w:rPr>
          <w:b/>
          <w:color w:val="000000" w:themeColor="text1"/>
          <w:sz w:val="16"/>
          <w:szCs w:val="28"/>
          <w:lang w:val="en-GB"/>
        </w:rPr>
        <w:t>(Chart 11)</w:t>
      </w:r>
      <w:r w:rsidR="005E1C5A" w:rsidRPr="00C461D0">
        <w:rPr>
          <w:rStyle w:val="Funotenzeichen"/>
          <w:color w:val="000000" w:themeColor="text1"/>
          <w:sz w:val="16"/>
          <w:szCs w:val="28"/>
          <w:lang w:val="en-GB"/>
        </w:rPr>
        <w:footnoteReference w:id="15"/>
      </w:r>
      <w:r w:rsidR="005E1C5A" w:rsidRPr="00C461D0">
        <w:rPr>
          <w:color w:val="000000" w:themeColor="text1"/>
          <w:sz w:val="16"/>
          <w:szCs w:val="28"/>
          <w:lang w:val="en-GB"/>
        </w:rPr>
        <w:t xml:space="preserve">. </w:t>
      </w:r>
      <w:r w:rsidR="00B52434" w:rsidRPr="00C461D0">
        <w:rPr>
          <w:color w:val="000000" w:themeColor="text1"/>
          <w:sz w:val="16"/>
          <w:szCs w:val="28"/>
          <w:lang w:val="en-GB"/>
        </w:rPr>
        <w:t>Compared</w:t>
      </w:r>
      <w:r w:rsidR="005E1C5A" w:rsidRPr="00C461D0">
        <w:rPr>
          <w:color w:val="000000" w:themeColor="text1"/>
          <w:sz w:val="16"/>
          <w:szCs w:val="28"/>
          <w:lang w:val="en-GB"/>
        </w:rPr>
        <w:t xml:space="preserve"> to last year</w:t>
      </w:r>
      <w:r w:rsidR="00B52434" w:rsidRPr="00C461D0">
        <w:rPr>
          <w:color w:val="000000" w:themeColor="text1"/>
          <w:sz w:val="16"/>
          <w:szCs w:val="28"/>
          <w:lang w:val="en-GB"/>
        </w:rPr>
        <w:t>,</w:t>
      </w:r>
      <w:r w:rsidR="005E1C5A" w:rsidRPr="00C461D0">
        <w:rPr>
          <w:color w:val="000000" w:themeColor="text1"/>
          <w:sz w:val="16"/>
          <w:szCs w:val="28"/>
          <w:lang w:val="en-GB"/>
        </w:rPr>
        <w:t xml:space="preserve"> loans from the </w:t>
      </w:r>
      <w:proofErr w:type="spellStart"/>
      <w:r w:rsidR="005E1C5A" w:rsidRPr="00C461D0">
        <w:rPr>
          <w:color w:val="000000" w:themeColor="text1"/>
          <w:sz w:val="16"/>
          <w:szCs w:val="28"/>
          <w:lang w:val="en-GB"/>
        </w:rPr>
        <w:t>Kreditanstalt</w:t>
      </w:r>
      <w:proofErr w:type="spellEnd"/>
      <w:r w:rsidR="005E1C5A" w:rsidRPr="00C461D0">
        <w:rPr>
          <w:color w:val="000000" w:themeColor="text1"/>
          <w:sz w:val="16"/>
          <w:szCs w:val="28"/>
          <w:lang w:val="en-GB"/>
        </w:rPr>
        <w:t xml:space="preserve"> </w:t>
      </w:r>
      <w:proofErr w:type="spellStart"/>
      <w:r w:rsidR="005E1C5A" w:rsidRPr="00C461D0">
        <w:rPr>
          <w:color w:val="000000" w:themeColor="text1"/>
          <w:sz w:val="16"/>
          <w:szCs w:val="28"/>
          <w:lang w:val="en-GB"/>
        </w:rPr>
        <w:t>für</w:t>
      </w:r>
      <w:proofErr w:type="spellEnd"/>
      <w:r w:rsidR="005E1C5A" w:rsidRPr="00C461D0">
        <w:rPr>
          <w:color w:val="000000" w:themeColor="text1"/>
          <w:sz w:val="16"/>
          <w:szCs w:val="28"/>
          <w:lang w:val="en-GB"/>
        </w:rPr>
        <w:t xml:space="preserve"> </w:t>
      </w:r>
      <w:proofErr w:type="spellStart"/>
      <w:r w:rsidR="005E1C5A" w:rsidRPr="00C461D0">
        <w:rPr>
          <w:color w:val="000000" w:themeColor="text1"/>
          <w:sz w:val="16"/>
          <w:szCs w:val="28"/>
          <w:lang w:val="en-GB"/>
        </w:rPr>
        <w:t>Wiederaufbau</w:t>
      </w:r>
      <w:proofErr w:type="spellEnd"/>
      <w:r w:rsidR="005E1C5A" w:rsidRPr="00C461D0">
        <w:rPr>
          <w:color w:val="000000" w:themeColor="text1"/>
          <w:sz w:val="16"/>
          <w:szCs w:val="28"/>
          <w:lang w:val="en-GB"/>
        </w:rPr>
        <w:t xml:space="preserve"> (</w:t>
      </w:r>
      <w:proofErr w:type="spellStart"/>
      <w:r w:rsidR="005E1C5A" w:rsidRPr="00C461D0">
        <w:rPr>
          <w:color w:val="000000" w:themeColor="text1"/>
          <w:sz w:val="16"/>
          <w:szCs w:val="28"/>
          <w:lang w:val="en-GB"/>
        </w:rPr>
        <w:t>KfW</w:t>
      </w:r>
      <w:proofErr w:type="spellEnd"/>
      <w:r w:rsidR="005E1C5A" w:rsidRPr="00C461D0">
        <w:rPr>
          <w:color w:val="000000" w:themeColor="text1"/>
          <w:sz w:val="16"/>
          <w:szCs w:val="28"/>
          <w:lang w:val="en-GB"/>
        </w:rPr>
        <w:t xml:space="preserve">), the main </w:t>
      </w:r>
      <w:r w:rsidR="00EB45C8">
        <w:rPr>
          <w:color w:val="000000" w:themeColor="text1"/>
          <w:sz w:val="16"/>
          <w:szCs w:val="28"/>
          <w:lang w:val="en-GB"/>
        </w:rPr>
        <w:t xml:space="preserve">German </w:t>
      </w:r>
      <w:r w:rsidR="005E1C5A" w:rsidRPr="00C461D0">
        <w:rPr>
          <w:color w:val="000000" w:themeColor="text1"/>
          <w:sz w:val="16"/>
          <w:szCs w:val="28"/>
          <w:lang w:val="en-GB"/>
        </w:rPr>
        <w:t xml:space="preserve">federal development bank, </w:t>
      </w:r>
      <w:r w:rsidR="009F4BF2">
        <w:rPr>
          <w:color w:val="000000" w:themeColor="text1"/>
          <w:sz w:val="16"/>
          <w:szCs w:val="28"/>
          <w:lang w:val="en-GB"/>
        </w:rPr>
        <w:t>got more popular</w:t>
      </w:r>
      <w:r w:rsidR="005E1C5A" w:rsidRPr="00C461D0">
        <w:rPr>
          <w:color w:val="000000" w:themeColor="text1"/>
          <w:sz w:val="16"/>
          <w:szCs w:val="28"/>
          <w:lang w:val="en-GB"/>
        </w:rPr>
        <w:t xml:space="preserve"> (29%) and also the emergency aid from the federal government (“</w:t>
      </w:r>
      <w:proofErr w:type="spellStart"/>
      <w:r w:rsidR="005E1C5A" w:rsidRPr="00C461D0">
        <w:rPr>
          <w:color w:val="000000" w:themeColor="text1"/>
          <w:sz w:val="16"/>
          <w:szCs w:val="28"/>
          <w:lang w:val="en-GB"/>
        </w:rPr>
        <w:t>Überbrückungshilfen</w:t>
      </w:r>
      <w:proofErr w:type="spellEnd"/>
      <w:r w:rsidR="005E1C5A" w:rsidRPr="00C461D0">
        <w:rPr>
          <w:color w:val="000000" w:themeColor="text1"/>
          <w:sz w:val="16"/>
          <w:szCs w:val="28"/>
          <w:lang w:val="en-GB"/>
        </w:rPr>
        <w:t xml:space="preserve">”) </w:t>
      </w:r>
      <w:r w:rsidR="00B52434" w:rsidRPr="00C461D0">
        <w:rPr>
          <w:color w:val="000000" w:themeColor="text1"/>
          <w:sz w:val="16"/>
          <w:szCs w:val="28"/>
          <w:lang w:val="en-GB"/>
        </w:rPr>
        <w:t xml:space="preserve">was </w:t>
      </w:r>
      <w:r w:rsidR="005E1C5A" w:rsidRPr="00C461D0">
        <w:rPr>
          <w:color w:val="000000" w:themeColor="text1"/>
          <w:sz w:val="16"/>
          <w:szCs w:val="28"/>
          <w:lang w:val="en-GB"/>
        </w:rPr>
        <w:t xml:space="preserve">used a lot. </w:t>
      </w:r>
      <w:r w:rsidR="00B52434" w:rsidRPr="00C461D0">
        <w:rPr>
          <w:color w:val="000000" w:themeColor="text1"/>
          <w:sz w:val="16"/>
          <w:szCs w:val="28"/>
          <w:lang w:val="en-GB"/>
        </w:rPr>
        <w:t>From all of these measures only the loans/guarantees have to be paid back (the tax relief measures are related to expanded depreciation options and higher tax allowances</w:t>
      </w:r>
      <w:r w:rsidR="009F4BF2" w:rsidRPr="009F4BF2">
        <w:rPr>
          <w:color w:val="000000" w:themeColor="text1"/>
          <w:sz w:val="16"/>
          <w:szCs w:val="28"/>
          <w:lang w:val="en-GB"/>
        </w:rPr>
        <w:t xml:space="preserve"> </w:t>
      </w:r>
      <w:r w:rsidR="009F4BF2" w:rsidRPr="00C461D0">
        <w:rPr>
          <w:color w:val="000000" w:themeColor="text1"/>
          <w:sz w:val="16"/>
          <w:szCs w:val="28"/>
          <w:lang w:val="en-GB"/>
        </w:rPr>
        <w:t>in Germany</w:t>
      </w:r>
      <w:r w:rsidR="00B52434" w:rsidRPr="00C461D0">
        <w:rPr>
          <w:color w:val="000000" w:themeColor="text1"/>
          <w:sz w:val="16"/>
          <w:szCs w:val="28"/>
          <w:lang w:val="en-GB"/>
        </w:rPr>
        <w:t xml:space="preserve">). </w:t>
      </w:r>
      <w:r w:rsidR="00C461D0" w:rsidRPr="00C461D0">
        <w:rPr>
          <w:color w:val="000000" w:themeColor="text1"/>
          <w:sz w:val="16"/>
          <w:szCs w:val="28"/>
          <w:lang w:val="en-GB"/>
        </w:rPr>
        <w:t>In case</w:t>
      </w:r>
      <w:r w:rsidR="00C461D0">
        <w:rPr>
          <w:color w:val="000000" w:themeColor="text1"/>
          <w:sz w:val="16"/>
          <w:szCs w:val="28"/>
          <w:lang w:val="en-GB"/>
        </w:rPr>
        <w:t xml:space="preserve"> of the </w:t>
      </w:r>
      <w:proofErr w:type="spellStart"/>
      <w:r w:rsidR="00C461D0">
        <w:rPr>
          <w:color w:val="000000" w:themeColor="text1"/>
          <w:sz w:val="16"/>
          <w:szCs w:val="28"/>
          <w:lang w:val="en-GB"/>
        </w:rPr>
        <w:t>KfW</w:t>
      </w:r>
      <w:proofErr w:type="spellEnd"/>
      <w:r w:rsidR="00C461D0">
        <w:rPr>
          <w:color w:val="000000" w:themeColor="text1"/>
          <w:sz w:val="16"/>
          <w:szCs w:val="28"/>
          <w:lang w:val="en-GB"/>
        </w:rPr>
        <w:t xml:space="preserve"> loans there are at maximum two grace years, before the company has to start paying back the loan. This means for many companies</w:t>
      </w:r>
      <w:r w:rsidR="009F4BF2">
        <w:rPr>
          <w:color w:val="000000" w:themeColor="text1"/>
          <w:sz w:val="16"/>
          <w:szCs w:val="28"/>
          <w:lang w:val="en-GB"/>
        </w:rPr>
        <w:t xml:space="preserve">, the pay-back time is actually starting now, when </w:t>
      </w:r>
      <w:r w:rsidR="00B733AE">
        <w:rPr>
          <w:color w:val="000000" w:themeColor="text1"/>
          <w:sz w:val="16"/>
          <w:szCs w:val="28"/>
          <w:lang w:val="en-GB"/>
        </w:rPr>
        <w:t xml:space="preserve">the economic outlook is very pessimistic. This could lead 2023 to a noticeable increase of payment delays. </w:t>
      </w:r>
      <w:r w:rsidR="00C461D0">
        <w:rPr>
          <w:color w:val="000000" w:themeColor="text1"/>
          <w:sz w:val="16"/>
          <w:szCs w:val="28"/>
          <w:lang w:val="en-GB"/>
        </w:rPr>
        <w:t xml:space="preserve"> </w:t>
      </w:r>
      <w:r w:rsidR="00C461D0" w:rsidRPr="00C461D0">
        <w:rPr>
          <w:color w:val="000000" w:themeColor="text1"/>
          <w:sz w:val="16"/>
          <w:szCs w:val="28"/>
          <w:lang w:val="en-GB"/>
        </w:rPr>
        <w:t xml:space="preserve"> </w:t>
      </w:r>
    </w:p>
    <w:p w14:paraId="690EB3D2" w14:textId="77777777" w:rsidR="00B33112" w:rsidRPr="00290E3A" w:rsidRDefault="00B33112">
      <w:pPr>
        <w:rPr>
          <w:b/>
          <w:color w:val="283860"/>
          <w:sz w:val="28"/>
          <w:szCs w:val="28"/>
          <w:highlight w:val="yellow"/>
          <w:lang w:val="en-GB"/>
        </w:rPr>
      </w:pPr>
      <w:r w:rsidRPr="00290E3A">
        <w:rPr>
          <w:b/>
          <w:color w:val="283860"/>
          <w:sz w:val="28"/>
          <w:szCs w:val="28"/>
          <w:highlight w:val="yellow"/>
          <w:lang w:val="en-GB"/>
        </w:rPr>
        <w:br w:type="page"/>
      </w:r>
    </w:p>
    <w:p w14:paraId="6D5F262D" w14:textId="77777777" w:rsidR="009644E3" w:rsidRPr="00A639F0" w:rsidRDefault="00404278" w:rsidP="00404278">
      <w:pPr>
        <w:spacing w:line="240" w:lineRule="auto"/>
        <w:rPr>
          <w:color w:val="283860"/>
          <w:sz w:val="20"/>
          <w:szCs w:val="28"/>
          <w:lang w:val="en-GB"/>
        </w:rPr>
      </w:pPr>
      <w:r w:rsidRPr="00A639F0">
        <w:rPr>
          <w:b/>
          <w:color w:val="283860"/>
          <w:sz w:val="28"/>
          <w:szCs w:val="28"/>
          <w:lang w:val="en-GB"/>
        </w:rPr>
        <w:lastRenderedPageBreak/>
        <w:t>APPENDIX</w:t>
      </w:r>
      <w:r w:rsidRPr="00A639F0">
        <w:rPr>
          <w:b/>
          <w:color w:val="283860"/>
          <w:sz w:val="28"/>
          <w:szCs w:val="28"/>
          <w:lang w:val="en-GB"/>
        </w:rPr>
        <w:br/>
      </w:r>
      <w:r w:rsidRPr="00A639F0">
        <w:rPr>
          <w:color w:val="283860"/>
          <w:sz w:val="28"/>
          <w:szCs w:val="28"/>
          <w:lang w:val="en-GB"/>
        </w:rPr>
        <w:br/>
      </w:r>
      <w:proofErr w:type="gramStart"/>
      <w:r w:rsidR="00B33112" w:rsidRPr="00A639F0">
        <w:rPr>
          <w:color w:val="283860"/>
          <w:sz w:val="20"/>
          <w:szCs w:val="28"/>
          <w:lang w:val="en-GB"/>
        </w:rPr>
        <w:t>A</w:t>
      </w:r>
      <w:proofErr w:type="gramEnd"/>
      <w:r w:rsidR="00B33112" w:rsidRPr="00A639F0">
        <w:rPr>
          <w:color w:val="283860"/>
          <w:sz w:val="20"/>
          <w:szCs w:val="28"/>
          <w:lang w:val="en-GB"/>
        </w:rPr>
        <w:t xml:space="preserve"> TOTAL OF</w:t>
      </w:r>
    </w:p>
    <w:p w14:paraId="4434D016" w14:textId="76639236" w:rsidR="00404278" w:rsidRPr="00A639F0" w:rsidRDefault="00A639F0" w:rsidP="00404278">
      <w:pPr>
        <w:spacing w:line="240" w:lineRule="auto"/>
        <w:rPr>
          <w:b/>
          <w:color w:val="283860"/>
          <w:sz w:val="40"/>
          <w:szCs w:val="28"/>
          <w:lang w:val="en-GB"/>
        </w:rPr>
      </w:pPr>
      <w:r>
        <w:rPr>
          <w:b/>
          <w:color w:val="283860"/>
          <w:sz w:val="40"/>
          <w:szCs w:val="28"/>
          <w:lang w:val="en-GB"/>
        </w:rPr>
        <w:t>1070</w:t>
      </w:r>
      <w:r>
        <w:rPr>
          <w:b/>
          <w:color w:val="283860"/>
          <w:sz w:val="40"/>
          <w:szCs w:val="28"/>
          <w:lang w:val="en-GB"/>
        </w:rPr>
        <w:br/>
      </w:r>
      <w:r w:rsidR="00B33112" w:rsidRPr="00A639F0">
        <w:rPr>
          <w:color w:val="283860"/>
          <w:sz w:val="20"/>
          <w:szCs w:val="28"/>
          <w:lang w:val="en-GB"/>
        </w:rPr>
        <w:t xml:space="preserve">COMPANIES PARTICIPATED IN THE PAYMENT SURVEY </w:t>
      </w:r>
    </w:p>
    <w:p w14:paraId="0E19FA60" w14:textId="2E46C6C1" w:rsidR="00404278" w:rsidRPr="00A639F0" w:rsidRDefault="00404278" w:rsidP="00DA5D32">
      <w:pPr>
        <w:spacing w:line="240" w:lineRule="auto"/>
        <w:ind w:left="2832"/>
        <w:rPr>
          <w:b/>
          <w:color w:val="283860"/>
          <w:szCs w:val="28"/>
          <w:lang w:val="en-GB"/>
        </w:rPr>
      </w:pPr>
      <w:r w:rsidRPr="00A639F0">
        <w:rPr>
          <w:color w:val="283860"/>
          <w:sz w:val="20"/>
          <w:szCs w:val="28"/>
          <w:lang w:val="en-GB"/>
        </w:rPr>
        <w:br/>
      </w:r>
      <w:r w:rsidRPr="00A639F0">
        <w:rPr>
          <w:b/>
          <w:color w:val="283860"/>
          <w:szCs w:val="28"/>
          <w:lang w:val="en-GB"/>
        </w:rPr>
        <w:t>Who were the respondents?</w:t>
      </w:r>
    </w:p>
    <w:p w14:paraId="15A6FC0F" w14:textId="77777777" w:rsidR="0086754E" w:rsidRPr="00A639F0" w:rsidRDefault="00404278" w:rsidP="009929AD">
      <w:pPr>
        <w:spacing w:line="240" w:lineRule="auto"/>
        <w:rPr>
          <w:color w:val="283860"/>
          <w:sz w:val="16"/>
          <w:szCs w:val="28"/>
          <w:lang w:val="en-GB"/>
        </w:rPr>
      </w:pPr>
      <w:r w:rsidRPr="00A639F0">
        <w:rPr>
          <w:b/>
          <w:color w:val="283860"/>
          <w:sz w:val="16"/>
          <w:szCs w:val="28"/>
          <w:lang w:val="en-GB"/>
        </w:rPr>
        <w:t xml:space="preserve">MAIN </w:t>
      </w:r>
      <w:r w:rsidR="00D42C8A" w:rsidRPr="00A639F0">
        <w:rPr>
          <w:b/>
          <w:color w:val="283860"/>
          <w:sz w:val="16"/>
          <w:szCs w:val="28"/>
          <w:lang w:val="en-GB"/>
        </w:rPr>
        <w:br/>
      </w:r>
      <w:r w:rsidR="00DA5D32" w:rsidRPr="00A639F0">
        <w:rPr>
          <w:color w:val="283860"/>
          <w:sz w:val="16"/>
          <w:szCs w:val="28"/>
          <w:lang w:val="en-GB"/>
        </w:rPr>
        <w:t>BUSINESS ACTIVITY</w:t>
      </w:r>
      <w:r w:rsidR="00A816C6" w:rsidRPr="00A639F0">
        <w:rPr>
          <w:color w:val="283860"/>
          <w:sz w:val="16"/>
          <w:szCs w:val="28"/>
          <w:lang w:val="en-GB"/>
        </w:rPr>
        <w:t xml:space="preserve"> </w:t>
      </w:r>
    </w:p>
    <w:p w14:paraId="0A890E07" w14:textId="6A53CF1D" w:rsidR="00B62155" w:rsidRPr="00A639F0" w:rsidRDefault="00A639F0" w:rsidP="009929AD">
      <w:pPr>
        <w:spacing w:line="240" w:lineRule="auto"/>
        <w:rPr>
          <w:color w:val="000000" w:themeColor="text1"/>
          <w:sz w:val="12"/>
          <w:szCs w:val="28"/>
          <w:lang w:val="en-GB"/>
        </w:rPr>
      </w:pPr>
      <w:r w:rsidRPr="00A639F0">
        <w:rPr>
          <w:noProof/>
          <w:color w:val="283860"/>
          <w:sz w:val="16"/>
          <w:szCs w:val="28"/>
          <w:lang w:eastAsia="de-DE"/>
        </w:rPr>
        <w:drawing>
          <wp:inline distT="0" distB="0" distL="0" distR="0" wp14:anchorId="5D56282F" wp14:editId="15EA79D1">
            <wp:extent cx="2210938" cy="134564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3496" cy="1359378"/>
                    </a:xfrm>
                    <a:prstGeom prst="rect">
                      <a:avLst/>
                    </a:prstGeom>
                    <a:noFill/>
                    <a:ln>
                      <a:noFill/>
                    </a:ln>
                  </pic:spPr>
                </pic:pic>
              </a:graphicData>
            </a:graphic>
          </wp:inline>
        </w:drawing>
      </w:r>
      <w:r w:rsidR="00404278" w:rsidRPr="00A639F0">
        <w:rPr>
          <w:color w:val="283860"/>
          <w:sz w:val="16"/>
          <w:szCs w:val="28"/>
          <w:lang w:val="en-GB"/>
        </w:rPr>
        <w:br/>
      </w:r>
      <w:r w:rsidR="00404278" w:rsidRPr="00A639F0">
        <w:rPr>
          <w:color w:val="283860"/>
          <w:sz w:val="16"/>
          <w:szCs w:val="28"/>
          <w:lang w:val="en-GB"/>
        </w:rPr>
        <w:br/>
      </w:r>
      <w:r w:rsidR="00404278" w:rsidRPr="00A639F0">
        <w:rPr>
          <w:color w:val="000000" w:themeColor="text1"/>
          <w:sz w:val="12"/>
          <w:szCs w:val="28"/>
          <w:lang w:val="en-GB"/>
        </w:rPr>
        <w:t xml:space="preserve">Source: </w:t>
      </w:r>
      <w:proofErr w:type="spellStart"/>
      <w:r w:rsidR="00404278" w:rsidRPr="00A639F0">
        <w:rPr>
          <w:color w:val="000000" w:themeColor="text1"/>
          <w:sz w:val="12"/>
          <w:szCs w:val="28"/>
          <w:lang w:val="en-GB"/>
        </w:rPr>
        <w:t>Coface</w:t>
      </w:r>
      <w:proofErr w:type="spellEnd"/>
      <w:r w:rsidRPr="00A639F0">
        <w:rPr>
          <w:color w:val="000000" w:themeColor="text1"/>
          <w:sz w:val="12"/>
          <w:szCs w:val="28"/>
          <w:lang w:val="en-GB"/>
        </w:rPr>
        <w:t xml:space="preserve"> Corporate</w:t>
      </w:r>
      <w:r w:rsidR="00404278" w:rsidRPr="00A639F0">
        <w:rPr>
          <w:color w:val="000000" w:themeColor="text1"/>
          <w:sz w:val="12"/>
          <w:szCs w:val="28"/>
          <w:lang w:val="en-GB"/>
        </w:rPr>
        <w:t xml:space="preserve"> Payment Survey</w:t>
      </w:r>
      <w:r w:rsidR="00B62155" w:rsidRPr="00A639F0">
        <w:rPr>
          <w:color w:val="000000" w:themeColor="text1"/>
          <w:sz w:val="12"/>
          <w:szCs w:val="28"/>
          <w:lang w:val="en-GB"/>
        </w:rPr>
        <w:t xml:space="preserve"> Germany 202</w:t>
      </w:r>
      <w:r w:rsidRPr="00A639F0">
        <w:rPr>
          <w:color w:val="000000" w:themeColor="text1"/>
          <w:sz w:val="12"/>
          <w:szCs w:val="28"/>
          <w:lang w:val="en-GB"/>
        </w:rPr>
        <w:t>2</w:t>
      </w:r>
    </w:p>
    <w:p w14:paraId="76E836C7" w14:textId="77777777" w:rsidR="00404278" w:rsidRPr="00A639F0" w:rsidRDefault="00DA5D32" w:rsidP="009929AD">
      <w:pPr>
        <w:spacing w:line="240" w:lineRule="auto"/>
        <w:rPr>
          <w:color w:val="283860"/>
          <w:sz w:val="16"/>
          <w:szCs w:val="28"/>
          <w:lang w:val="en-GB"/>
        </w:rPr>
      </w:pPr>
      <w:r w:rsidRPr="00A639F0">
        <w:rPr>
          <w:b/>
          <w:color w:val="283860"/>
          <w:sz w:val="16"/>
          <w:szCs w:val="28"/>
          <w:lang w:val="en-GB"/>
        </w:rPr>
        <w:t>RELEVANT</w:t>
      </w:r>
      <w:r w:rsidRPr="00A639F0">
        <w:rPr>
          <w:color w:val="283860"/>
          <w:sz w:val="16"/>
          <w:szCs w:val="28"/>
          <w:lang w:val="en-GB"/>
        </w:rPr>
        <w:t xml:space="preserve"> </w:t>
      </w:r>
      <w:r w:rsidRPr="00A639F0">
        <w:rPr>
          <w:color w:val="283860"/>
          <w:sz w:val="16"/>
          <w:szCs w:val="28"/>
          <w:lang w:val="en-GB"/>
        </w:rPr>
        <w:br/>
        <w:t>MARKET</w:t>
      </w:r>
    </w:p>
    <w:p w14:paraId="458A7AAF" w14:textId="3D86D704" w:rsidR="00C16182" w:rsidRPr="00A639F0" w:rsidRDefault="00A639F0" w:rsidP="009929AD">
      <w:pPr>
        <w:spacing w:line="240" w:lineRule="auto"/>
        <w:rPr>
          <w:color w:val="283860"/>
          <w:sz w:val="16"/>
          <w:szCs w:val="28"/>
          <w:lang w:val="en-GB"/>
        </w:rPr>
      </w:pPr>
      <w:r w:rsidRPr="00A639F0">
        <w:rPr>
          <w:noProof/>
          <w:color w:val="283860"/>
          <w:sz w:val="16"/>
          <w:szCs w:val="28"/>
          <w:lang w:eastAsia="de-DE"/>
        </w:rPr>
        <w:drawing>
          <wp:inline distT="0" distB="0" distL="0" distR="0" wp14:anchorId="6A3766C5" wp14:editId="1AAE8CB5">
            <wp:extent cx="2393105" cy="149443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2026" cy="1500001"/>
                    </a:xfrm>
                    <a:prstGeom prst="rect">
                      <a:avLst/>
                    </a:prstGeom>
                    <a:noFill/>
                    <a:ln>
                      <a:noFill/>
                    </a:ln>
                  </pic:spPr>
                </pic:pic>
              </a:graphicData>
            </a:graphic>
          </wp:inline>
        </w:drawing>
      </w:r>
    </w:p>
    <w:p w14:paraId="0E6057B1" w14:textId="77777777" w:rsidR="00A639F0" w:rsidRDefault="00A639F0" w:rsidP="00DA5D32">
      <w:pPr>
        <w:spacing w:line="240" w:lineRule="auto"/>
        <w:rPr>
          <w:color w:val="000000" w:themeColor="text1"/>
          <w:sz w:val="12"/>
          <w:szCs w:val="28"/>
          <w:lang w:val="en-GB"/>
        </w:rPr>
      </w:pPr>
      <w:r w:rsidRPr="00A639F0">
        <w:rPr>
          <w:color w:val="000000" w:themeColor="text1"/>
          <w:sz w:val="12"/>
          <w:szCs w:val="28"/>
          <w:lang w:val="en-GB"/>
        </w:rPr>
        <w:t xml:space="preserve">Source: </w:t>
      </w:r>
      <w:proofErr w:type="spellStart"/>
      <w:r w:rsidRPr="00A639F0">
        <w:rPr>
          <w:color w:val="000000" w:themeColor="text1"/>
          <w:sz w:val="12"/>
          <w:szCs w:val="28"/>
          <w:lang w:val="en-GB"/>
        </w:rPr>
        <w:t>Coface</w:t>
      </w:r>
      <w:proofErr w:type="spellEnd"/>
      <w:r w:rsidRPr="00A639F0">
        <w:rPr>
          <w:color w:val="000000" w:themeColor="text1"/>
          <w:sz w:val="12"/>
          <w:szCs w:val="28"/>
          <w:lang w:val="en-GB"/>
        </w:rPr>
        <w:t xml:space="preserve"> Corporate Payment Survey Germany 2022</w:t>
      </w:r>
    </w:p>
    <w:p w14:paraId="23C0C497" w14:textId="13AF74A9" w:rsidR="00DA5D32" w:rsidRPr="00A639F0" w:rsidRDefault="00DA5D32" w:rsidP="00DA5D32">
      <w:pPr>
        <w:spacing w:line="240" w:lineRule="auto"/>
        <w:rPr>
          <w:color w:val="283860"/>
          <w:sz w:val="16"/>
          <w:szCs w:val="28"/>
          <w:lang w:val="en-GB"/>
        </w:rPr>
      </w:pPr>
      <w:r w:rsidRPr="00A639F0">
        <w:rPr>
          <w:b/>
          <w:color w:val="283860"/>
          <w:sz w:val="16"/>
          <w:szCs w:val="28"/>
          <w:lang w:val="en-GB"/>
        </w:rPr>
        <w:t>SIZE</w:t>
      </w:r>
      <w:r w:rsidRPr="00A639F0">
        <w:rPr>
          <w:color w:val="283860"/>
          <w:sz w:val="16"/>
          <w:szCs w:val="28"/>
          <w:lang w:val="en-GB"/>
        </w:rPr>
        <w:t xml:space="preserve"> </w:t>
      </w:r>
      <w:r w:rsidRPr="00A639F0">
        <w:rPr>
          <w:color w:val="283860"/>
          <w:sz w:val="16"/>
          <w:szCs w:val="28"/>
          <w:lang w:val="en-GB"/>
        </w:rPr>
        <w:br/>
        <w:t>BY TURNOVER</w:t>
      </w:r>
    </w:p>
    <w:p w14:paraId="3542ABB3" w14:textId="1FDC3F83" w:rsidR="00DA5D32" w:rsidRPr="00A639F0" w:rsidRDefault="00A639F0" w:rsidP="00DA5D32">
      <w:pPr>
        <w:spacing w:line="240" w:lineRule="auto"/>
        <w:rPr>
          <w:color w:val="283860"/>
          <w:sz w:val="16"/>
          <w:szCs w:val="28"/>
          <w:lang w:val="en-GB"/>
        </w:rPr>
      </w:pPr>
      <w:r w:rsidRPr="00A639F0">
        <w:rPr>
          <w:noProof/>
          <w:color w:val="283860"/>
          <w:sz w:val="16"/>
          <w:szCs w:val="28"/>
          <w:lang w:eastAsia="de-DE"/>
        </w:rPr>
        <w:drawing>
          <wp:inline distT="0" distB="0" distL="0" distR="0" wp14:anchorId="23FE0847" wp14:editId="64C46668">
            <wp:extent cx="3248167" cy="1803609"/>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9708" cy="1810017"/>
                    </a:xfrm>
                    <a:prstGeom prst="rect">
                      <a:avLst/>
                    </a:prstGeom>
                    <a:noFill/>
                    <a:ln>
                      <a:noFill/>
                    </a:ln>
                  </pic:spPr>
                </pic:pic>
              </a:graphicData>
            </a:graphic>
          </wp:inline>
        </w:drawing>
      </w:r>
    </w:p>
    <w:p w14:paraId="58514B90" w14:textId="77777777" w:rsidR="00A639F0" w:rsidRDefault="00A639F0" w:rsidP="00A639F0">
      <w:pPr>
        <w:spacing w:line="240" w:lineRule="auto"/>
        <w:rPr>
          <w:color w:val="000000" w:themeColor="text1"/>
          <w:sz w:val="12"/>
          <w:szCs w:val="28"/>
          <w:lang w:val="en-GB"/>
        </w:rPr>
      </w:pPr>
      <w:r w:rsidRPr="00A639F0">
        <w:rPr>
          <w:color w:val="000000" w:themeColor="text1"/>
          <w:sz w:val="12"/>
          <w:szCs w:val="28"/>
          <w:lang w:val="en-GB"/>
        </w:rPr>
        <w:t xml:space="preserve">Source: </w:t>
      </w:r>
      <w:proofErr w:type="spellStart"/>
      <w:r w:rsidRPr="00A639F0">
        <w:rPr>
          <w:color w:val="000000" w:themeColor="text1"/>
          <w:sz w:val="12"/>
          <w:szCs w:val="28"/>
          <w:lang w:val="en-GB"/>
        </w:rPr>
        <w:t>Coface</w:t>
      </w:r>
      <w:proofErr w:type="spellEnd"/>
      <w:r w:rsidRPr="00A639F0">
        <w:rPr>
          <w:color w:val="000000" w:themeColor="text1"/>
          <w:sz w:val="12"/>
          <w:szCs w:val="28"/>
          <w:lang w:val="en-GB"/>
        </w:rPr>
        <w:t xml:space="preserve"> Corporate Payment Survey Germany 2022</w:t>
      </w:r>
    </w:p>
    <w:p w14:paraId="77F69501" w14:textId="039B94BC" w:rsidR="00F43632" w:rsidRPr="00290E3A" w:rsidRDefault="00F43632" w:rsidP="009929AD">
      <w:pPr>
        <w:spacing w:line="240" w:lineRule="auto"/>
        <w:rPr>
          <w:b/>
          <w:color w:val="283860"/>
          <w:sz w:val="16"/>
          <w:szCs w:val="28"/>
          <w:highlight w:val="yellow"/>
          <w:lang w:val="en-GB"/>
        </w:rPr>
      </w:pPr>
    </w:p>
    <w:p w14:paraId="49BF2CF7" w14:textId="77777777" w:rsidR="00404278" w:rsidRPr="00A639F0" w:rsidRDefault="00F2463C" w:rsidP="009929AD">
      <w:pPr>
        <w:spacing w:line="240" w:lineRule="auto"/>
        <w:rPr>
          <w:color w:val="283860"/>
          <w:sz w:val="16"/>
          <w:szCs w:val="28"/>
          <w:lang w:val="en-GB"/>
        </w:rPr>
      </w:pPr>
      <w:r w:rsidRPr="00A639F0">
        <w:rPr>
          <w:b/>
          <w:color w:val="283860"/>
          <w:sz w:val="16"/>
          <w:szCs w:val="28"/>
          <w:lang w:val="en-GB"/>
        </w:rPr>
        <w:t xml:space="preserve">SECTORS </w:t>
      </w:r>
      <w:r w:rsidR="00F43632" w:rsidRPr="00A639F0">
        <w:rPr>
          <w:color w:val="283860"/>
          <w:sz w:val="16"/>
          <w:szCs w:val="28"/>
          <w:lang w:val="en-GB"/>
        </w:rPr>
        <w:br/>
      </w:r>
      <w:r w:rsidR="00DA5D32" w:rsidRPr="00A639F0">
        <w:rPr>
          <w:color w:val="283860"/>
          <w:sz w:val="16"/>
          <w:szCs w:val="28"/>
          <w:lang w:val="en-GB"/>
        </w:rPr>
        <w:t>OF SURVEYED COMPANIES</w:t>
      </w:r>
    </w:p>
    <w:p w14:paraId="462CE542" w14:textId="2F35BEC7" w:rsidR="00F2463C" w:rsidRPr="00A639F0" w:rsidRDefault="00DF0BD2" w:rsidP="009929AD">
      <w:pPr>
        <w:spacing w:line="240" w:lineRule="auto"/>
        <w:rPr>
          <w:color w:val="283860"/>
          <w:sz w:val="16"/>
          <w:szCs w:val="28"/>
          <w:lang w:val="en-GB"/>
        </w:rPr>
      </w:pPr>
      <w:r w:rsidRPr="00DF0BD2">
        <w:rPr>
          <w:noProof/>
          <w:color w:val="283860"/>
          <w:sz w:val="16"/>
          <w:szCs w:val="28"/>
          <w:lang w:eastAsia="de-DE"/>
        </w:rPr>
        <w:lastRenderedPageBreak/>
        <w:drawing>
          <wp:inline distT="0" distB="0" distL="0" distR="0" wp14:anchorId="2BF5A5B7" wp14:editId="1EC1F624">
            <wp:extent cx="2863007" cy="171780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7263" cy="1720357"/>
                    </a:xfrm>
                    <a:prstGeom prst="rect">
                      <a:avLst/>
                    </a:prstGeom>
                    <a:noFill/>
                    <a:ln>
                      <a:noFill/>
                    </a:ln>
                  </pic:spPr>
                </pic:pic>
              </a:graphicData>
            </a:graphic>
          </wp:inline>
        </w:drawing>
      </w:r>
    </w:p>
    <w:p w14:paraId="41CCC19B" w14:textId="77777777" w:rsidR="00A639F0" w:rsidRDefault="00A639F0" w:rsidP="00A639F0">
      <w:pPr>
        <w:spacing w:line="240" w:lineRule="auto"/>
        <w:rPr>
          <w:color w:val="000000" w:themeColor="text1"/>
          <w:sz w:val="12"/>
          <w:szCs w:val="28"/>
          <w:lang w:val="en-GB"/>
        </w:rPr>
      </w:pPr>
      <w:r w:rsidRPr="00A639F0">
        <w:rPr>
          <w:color w:val="000000" w:themeColor="text1"/>
          <w:sz w:val="12"/>
          <w:szCs w:val="28"/>
          <w:lang w:val="en-GB"/>
        </w:rPr>
        <w:t xml:space="preserve">Source: </w:t>
      </w:r>
      <w:proofErr w:type="spellStart"/>
      <w:r w:rsidRPr="00A639F0">
        <w:rPr>
          <w:color w:val="000000" w:themeColor="text1"/>
          <w:sz w:val="12"/>
          <w:szCs w:val="28"/>
          <w:lang w:val="en-GB"/>
        </w:rPr>
        <w:t>Coface</w:t>
      </w:r>
      <w:proofErr w:type="spellEnd"/>
      <w:r w:rsidRPr="00A639F0">
        <w:rPr>
          <w:color w:val="000000" w:themeColor="text1"/>
          <w:sz w:val="12"/>
          <w:szCs w:val="28"/>
          <w:lang w:val="en-GB"/>
        </w:rPr>
        <w:t xml:space="preserve"> Corporate Payment Survey Germany 2022</w:t>
      </w:r>
    </w:p>
    <w:p w14:paraId="6C82B173" w14:textId="06966C81" w:rsidR="00FA0F6F" w:rsidRPr="00C83B75" w:rsidRDefault="00FA0F6F" w:rsidP="009929AD">
      <w:pPr>
        <w:spacing w:line="240" w:lineRule="auto"/>
        <w:rPr>
          <w:color w:val="283860"/>
          <w:sz w:val="16"/>
          <w:szCs w:val="28"/>
          <w:lang w:val="en-GB"/>
        </w:rPr>
      </w:pPr>
    </w:p>
    <w:sectPr w:rsidR="00FA0F6F" w:rsidRPr="00C83B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F2D5" w14:textId="77777777" w:rsidR="00DC2B13" w:rsidRDefault="00DC2B13" w:rsidP="00B052BA">
      <w:pPr>
        <w:spacing w:after="0" w:line="240" w:lineRule="auto"/>
      </w:pPr>
      <w:r>
        <w:separator/>
      </w:r>
    </w:p>
  </w:endnote>
  <w:endnote w:type="continuationSeparator" w:id="0">
    <w:p w14:paraId="6AA6972F" w14:textId="77777777" w:rsidR="00DC2B13" w:rsidRDefault="00DC2B13" w:rsidP="00B0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0F3B" w14:textId="77777777" w:rsidR="00DC2B13" w:rsidRDefault="00DC2B13" w:rsidP="00B052BA">
      <w:pPr>
        <w:spacing w:after="0" w:line="240" w:lineRule="auto"/>
      </w:pPr>
      <w:r>
        <w:separator/>
      </w:r>
    </w:p>
  </w:footnote>
  <w:footnote w:type="continuationSeparator" w:id="0">
    <w:p w14:paraId="53D86D81" w14:textId="77777777" w:rsidR="00DC2B13" w:rsidRDefault="00DC2B13" w:rsidP="00B052BA">
      <w:pPr>
        <w:spacing w:after="0" w:line="240" w:lineRule="auto"/>
      </w:pPr>
      <w:r>
        <w:continuationSeparator/>
      </w:r>
    </w:p>
  </w:footnote>
  <w:footnote w:id="1">
    <w:p w14:paraId="39B21BF6" w14:textId="5B57932B" w:rsidR="00694A19" w:rsidRPr="00366832" w:rsidRDefault="00694A19">
      <w:pPr>
        <w:pStyle w:val="Funotentext"/>
        <w:rPr>
          <w:rFonts w:asciiTheme="minorHAnsi" w:hAnsiTheme="minorHAnsi" w:cstheme="minorHAnsi"/>
          <w:sz w:val="14"/>
          <w:szCs w:val="14"/>
        </w:rPr>
      </w:pPr>
      <w:r w:rsidRPr="00366832">
        <w:rPr>
          <w:rStyle w:val="Funotenzeichen"/>
          <w:rFonts w:asciiTheme="minorHAnsi" w:hAnsiTheme="minorHAnsi" w:cstheme="minorHAnsi"/>
          <w:sz w:val="14"/>
        </w:rPr>
        <w:footnoteRef/>
      </w:r>
      <w:r>
        <w:t xml:space="preserve"> </w:t>
      </w:r>
      <w:r w:rsidRPr="00366832">
        <w:rPr>
          <w:rFonts w:asciiTheme="minorHAnsi" w:hAnsiTheme="minorHAnsi" w:cstheme="minorHAnsi"/>
          <w:sz w:val="14"/>
          <w:szCs w:val="14"/>
        </w:rPr>
        <w:t>The survey was conducted between</w:t>
      </w:r>
      <w:r w:rsidR="00C83B75">
        <w:rPr>
          <w:rFonts w:asciiTheme="minorHAnsi" w:hAnsiTheme="minorHAnsi" w:cstheme="minorHAnsi"/>
          <w:sz w:val="14"/>
          <w:szCs w:val="14"/>
        </w:rPr>
        <w:t xml:space="preserve"> </w:t>
      </w:r>
      <w:r w:rsidR="00C83B75" w:rsidRPr="00366832">
        <w:rPr>
          <w:rFonts w:asciiTheme="minorHAnsi" w:hAnsiTheme="minorHAnsi" w:cstheme="minorHAnsi"/>
          <w:sz w:val="14"/>
          <w:szCs w:val="14"/>
        </w:rPr>
        <w:t>2</w:t>
      </w:r>
      <w:r w:rsidR="00290E3A">
        <w:rPr>
          <w:rFonts w:asciiTheme="minorHAnsi" w:hAnsiTheme="minorHAnsi" w:cstheme="minorHAnsi"/>
          <w:sz w:val="14"/>
          <w:szCs w:val="14"/>
        </w:rPr>
        <w:t>7</w:t>
      </w:r>
      <w:r w:rsidRPr="00366832">
        <w:rPr>
          <w:rFonts w:asciiTheme="minorHAnsi" w:hAnsiTheme="minorHAnsi" w:cstheme="minorHAnsi"/>
          <w:sz w:val="14"/>
          <w:szCs w:val="14"/>
        </w:rPr>
        <w:t xml:space="preserve"> June and </w:t>
      </w:r>
      <w:r w:rsidR="00290E3A">
        <w:rPr>
          <w:rFonts w:asciiTheme="minorHAnsi" w:hAnsiTheme="minorHAnsi" w:cstheme="minorHAnsi"/>
          <w:sz w:val="14"/>
          <w:szCs w:val="14"/>
        </w:rPr>
        <w:t>14</w:t>
      </w:r>
      <w:r w:rsidR="00C83B75">
        <w:rPr>
          <w:rFonts w:asciiTheme="minorHAnsi" w:hAnsiTheme="minorHAnsi" w:cstheme="minorHAnsi"/>
          <w:sz w:val="14"/>
          <w:szCs w:val="14"/>
        </w:rPr>
        <w:t xml:space="preserve"> </w:t>
      </w:r>
      <w:r w:rsidRPr="00366832">
        <w:rPr>
          <w:rFonts w:asciiTheme="minorHAnsi" w:hAnsiTheme="minorHAnsi" w:cstheme="minorHAnsi"/>
          <w:sz w:val="14"/>
          <w:szCs w:val="14"/>
        </w:rPr>
        <w:t>August</w:t>
      </w:r>
      <w:r>
        <w:rPr>
          <w:rFonts w:asciiTheme="minorHAnsi" w:hAnsiTheme="minorHAnsi" w:cstheme="minorHAnsi"/>
          <w:sz w:val="14"/>
          <w:szCs w:val="14"/>
        </w:rPr>
        <w:t xml:space="preserve"> 202</w:t>
      </w:r>
      <w:r w:rsidR="00290E3A">
        <w:rPr>
          <w:rFonts w:asciiTheme="minorHAnsi" w:hAnsiTheme="minorHAnsi" w:cstheme="minorHAnsi"/>
          <w:sz w:val="14"/>
          <w:szCs w:val="14"/>
        </w:rPr>
        <w:t>2</w:t>
      </w:r>
      <w:r w:rsidRPr="00366832">
        <w:rPr>
          <w:rFonts w:asciiTheme="minorHAnsi" w:hAnsiTheme="minorHAnsi" w:cstheme="minorHAnsi"/>
          <w:sz w:val="14"/>
          <w:szCs w:val="14"/>
        </w:rPr>
        <w:t>.</w:t>
      </w:r>
    </w:p>
  </w:footnote>
  <w:footnote w:id="2">
    <w:p w14:paraId="26E64407" w14:textId="41ECEFFA" w:rsidR="005746C1" w:rsidRPr="005746C1" w:rsidRDefault="005746C1">
      <w:pPr>
        <w:pStyle w:val="Funotentext"/>
        <w:rPr>
          <w:rFonts w:asciiTheme="minorHAnsi" w:hAnsiTheme="minorHAnsi" w:cstheme="minorHAnsi"/>
        </w:rPr>
      </w:pPr>
      <w:r w:rsidRPr="005746C1">
        <w:rPr>
          <w:rStyle w:val="Funotenzeichen"/>
          <w:rFonts w:asciiTheme="minorHAnsi" w:hAnsiTheme="minorHAnsi" w:cstheme="minorHAnsi"/>
          <w:sz w:val="14"/>
        </w:rPr>
        <w:footnoteRef/>
      </w:r>
      <w:r w:rsidRPr="005746C1">
        <w:rPr>
          <w:rFonts w:asciiTheme="minorHAnsi" w:hAnsiTheme="minorHAnsi" w:cstheme="minorHAnsi"/>
          <w:sz w:val="14"/>
        </w:rPr>
        <w:t xml:space="preserve"> </w:t>
      </w:r>
      <w:proofErr w:type="spellStart"/>
      <w:r w:rsidRPr="005746C1">
        <w:rPr>
          <w:rFonts w:asciiTheme="minorHAnsi" w:hAnsiTheme="minorHAnsi" w:cstheme="minorHAnsi"/>
          <w:sz w:val="14"/>
        </w:rPr>
        <w:t>Coface</w:t>
      </w:r>
      <w:proofErr w:type="spellEnd"/>
      <w:r w:rsidRPr="005746C1">
        <w:rPr>
          <w:rFonts w:asciiTheme="minorHAnsi" w:hAnsiTheme="minorHAnsi" w:cstheme="minorHAnsi"/>
          <w:sz w:val="14"/>
        </w:rPr>
        <w:t xml:space="preserve"> is publishing Germany corporate payment surveys since 2016.</w:t>
      </w:r>
    </w:p>
  </w:footnote>
  <w:footnote w:id="3">
    <w:p w14:paraId="4922EEE8" w14:textId="7D1FD6B7" w:rsidR="00694A19" w:rsidRPr="00B052BA" w:rsidRDefault="00694A19" w:rsidP="00B052BA">
      <w:pPr>
        <w:pStyle w:val="Funotentext"/>
        <w:rPr>
          <w:lang w:val="en-US"/>
        </w:rPr>
      </w:pPr>
      <w:r w:rsidRPr="005D0155">
        <w:rPr>
          <w:rStyle w:val="Funotenzeichen"/>
          <w:rFonts w:asciiTheme="minorHAnsi" w:hAnsiTheme="minorHAnsi"/>
          <w:sz w:val="16"/>
        </w:rPr>
        <w:footnoteRef/>
      </w:r>
      <w:r w:rsidRPr="00B91E8E">
        <w:rPr>
          <w:rFonts w:asciiTheme="minorHAnsi" w:hAnsiTheme="minorHAnsi"/>
          <w:sz w:val="14"/>
        </w:rPr>
        <w:t xml:space="preserve"> Payment term – the time-frame between when a customer purchases a product or service and when payment is due.</w:t>
      </w:r>
    </w:p>
  </w:footnote>
  <w:footnote w:id="4">
    <w:p w14:paraId="504BA963" w14:textId="086C6265" w:rsidR="00694A19" w:rsidRPr="00851F3A" w:rsidRDefault="00694A19">
      <w:pPr>
        <w:pStyle w:val="Funotentext"/>
      </w:pPr>
      <w:r w:rsidRPr="005746C1">
        <w:rPr>
          <w:rStyle w:val="Funotenzeichen"/>
          <w:rFonts w:asciiTheme="minorHAnsi" w:hAnsiTheme="minorHAnsi" w:cstheme="minorHAnsi"/>
          <w:sz w:val="14"/>
        </w:rPr>
        <w:footnoteRef/>
      </w:r>
      <w:r>
        <w:t xml:space="preserve"> </w:t>
      </w:r>
      <w:r w:rsidRPr="00851F3A">
        <w:rPr>
          <w:rFonts w:asciiTheme="minorHAnsi" w:hAnsiTheme="minorHAnsi" w:cstheme="minorHAnsi"/>
          <w:sz w:val="14"/>
        </w:rPr>
        <w:t xml:space="preserve">Due to technical reasons, </w:t>
      </w:r>
      <w:proofErr w:type="spellStart"/>
      <w:r w:rsidRPr="00851F3A">
        <w:rPr>
          <w:rFonts w:asciiTheme="minorHAnsi" w:hAnsiTheme="minorHAnsi" w:cstheme="minorHAnsi"/>
          <w:sz w:val="14"/>
        </w:rPr>
        <w:t>Coface</w:t>
      </w:r>
      <w:proofErr w:type="spellEnd"/>
      <w:r w:rsidRPr="00851F3A">
        <w:rPr>
          <w:rFonts w:asciiTheme="minorHAnsi" w:hAnsiTheme="minorHAnsi" w:cstheme="minorHAnsi"/>
          <w:sz w:val="14"/>
        </w:rPr>
        <w:t xml:space="preserve"> did no</w:t>
      </w:r>
      <w:r>
        <w:rPr>
          <w:rFonts w:asciiTheme="minorHAnsi" w:hAnsiTheme="minorHAnsi" w:cstheme="minorHAnsi"/>
          <w:sz w:val="14"/>
        </w:rPr>
        <w:t>t</w:t>
      </w:r>
      <w:r w:rsidRPr="00851F3A">
        <w:rPr>
          <w:rFonts w:asciiTheme="minorHAnsi" w:hAnsiTheme="minorHAnsi" w:cstheme="minorHAnsi"/>
          <w:sz w:val="14"/>
        </w:rPr>
        <w:t xml:space="preserve"> publish a Corporate Payment Survey for Germany in 2018.</w:t>
      </w:r>
      <w:r w:rsidRPr="00851F3A">
        <w:rPr>
          <w:sz w:val="14"/>
        </w:rPr>
        <w:t xml:space="preserve"> </w:t>
      </w:r>
    </w:p>
  </w:footnote>
  <w:footnote w:id="5">
    <w:p w14:paraId="67D04DBE" w14:textId="5272E736" w:rsidR="00062DD2" w:rsidRPr="00062DD2" w:rsidRDefault="00062DD2">
      <w:pPr>
        <w:pStyle w:val="Funotentext"/>
        <w:rPr>
          <w:rFonts w:asciiTheme="minorHAnsi" w:hAnsiTheme="minorHAnsi" w:cstheme="minorHAnsi"/>
          <w:sz w:val="14"/>
          <w:szCs w:val="14"/>
        </w:rPr>
      </w:pPr>
      <w:r w:rsidRPr="00062DD2">
        <w:rPr>
          <w:rStyle w:val="Funotenzeichen"/>
          <w:rFonts w:asciiTheme="minorHAnsi" w:hAnsiTheme="minorHAnsi" w:cstheme="minorHAnsi"/>
          <w:sz w:val="14"/>
          <w:szCs w:val="14"/>
        </w:rPr>
        <w:footnoteRef/>
      </w:r>
      <w:r w:rsidRPr="00062DD2">
        <w:rPr>
          <w:rFonts w:asciiTheme="minorHAnsi" w:hAnsiTheme="minorHAnsi" w:cstheme="minorHAnsi"/>
          <w:sz w:val="14"/>
          <w:szCs w:val="14"/>
        </w:rPr>
        <w:t xml:space="preserve"> Due to the high participation numbers this and last year, it is now possible to show single data for the sectors </w:t>
      </w:r>
      <w:proofErr w:type="spellStart"/>
      <w:r w:rsidRPr="00062DD2">
        <w:rPr>
          <w:rFonts w:asciiTheme="minorHAnsi" w:hAnsiTheme="minorHAnsi" w:cstheme="minorHAnsi"/>
          <w:sz w:val="14"/>
          <w:szCs w:val="14"/>
        </w:rPr>
        <w:t>agri</w:t>
      </w:r>
      <w:proofErr w:type="spellEnd"/>
      <w:r w:rsidRPr="00062DD2">
        <w:rPr>
          <w:rFonts w:asciiTheme="minorHAnsi" w:hAnsiTheme="minorHAnsi" w:cstheme="minorHAnsi"/>
          <w:sz w:val="14"/>
          <w:szCs w:val="14"/>
        </w:rPr>
        <w:t xml:space="preserve">-food and wood separately. Before, they were showed as a combined sector. In addition, this year the finance sector was established in the payment survey. Before, these answers were collected under “other sectors”. </w:t>
      </w:r>
    </w:p>
  </w:footnote>
  <w:footnote w:id="6">
    <w:p w14:paraId="742EC0D2" w14:textId="496D5E3F" w:rsidR="005746C1" w:rsidRPr="005746C1" w:rsidRDefault="005746C1">
      <w:pPr>
        <w:pStyle w:val="Funotentext"/>
        <w:rPr>
          <w:rFonts w:asciiTheme="minorHAnsi" w:hAnsiTheme="minorHAnsi" w:cstheme="minorHAnsi"/>
          <w:sz w:val="14"/>
          <w:szCs w:val="14"/>
        </w:rPr>
      </w:pPr>
      <w:r w:rsidRPr="005746C1">
        <w:rPr>
          <w:rStyle w:val="Funotenzeichen"/>
          <w:rFonts w:asciiTheme="minorHAnsi" w:hAnsiTheme="minorHAnsi" w:cstheme="minorHAnsi"/>
          <w:sz w:val="14"/>
          <w:szCs w:val="14"/>
        </w:rPr>
        <w:footnoteRef/>
      </w:r>
      <w:r w:rsidRPr="005746C1">
        <w:rPr>
          <w:rFonts w:asciiTheme="minorHAnsi" w:hAnsiTheme="minorHAnsi" w:cstheme="minorHAnsi"/>
          <w:sz w:val="14"/>
          <w:szCs w:val="14"/>
        </w:rPr>
        <w:t xml:space="preserve"> ICT = Information and Communication Technology</w:t>
      </w:r>
    </w:p>
  </w:footnote>
  <w:footnote w:id="7">
    <w:p w14:paraId="1100DDBA" w14:textId="7CDEE7DA" w:rsidR="00694A19" w:rsidRPr="00162514" w:rsidRDefault="00694A19">
      <w:pPr>
        <w:pStyle w:val="Funotentext"/>
      </w:pPr>
      <w:r w:rsidRPr="00162514">
        <w:rPr>
          <w:rFonts w:asciiTheme="minorHAnsi" w:hAnsiTheme="minorHAnsi"/>
          <w:sz w:val="10"/>
        </w:rPr>
        <w:footnoteRef/>
      </w:r>
      <w:r w:rsidRPr="00162514">
        <w:rPr>
          <w:rFonts w:asciiTheme="minorHAnsi" w:hAnsiTheme="minorHAnsi"/>
          <w:sz w:val="10"/>
        </w:rPr>
        <w:t xml:space="preserve"> </w:t>
      </w:r>
      <w:r w:rsidRPr="00162514">
        <w:rPr>
          <w:rFonts w:asciiTheme="minorHAnsi" w:hAnsiTheme="minorHAnsi"/>
          <w:sz w:val="14"/>
        </w:rPr>
        <w:t>We ask our participants to give answers in time-</w:t>
      </w:r>
      <w:r>
        <w:rPr>
          <w:rFonts w:asciiTheme="minorHAnsi" w:hAnsiTheme="minorHAnsi"/>
          <w:sz w:val="14"/>
        </w:rPr>
        <w:t>range</w:t>
      </w:r>
      <w:r w:rsidRPr="00162514">
        <w:rPr>
          <w:rFonts w:asciiTheme="minorHAnsi" w:hAnsiTheme="minorHAnsi"/>
          <w:sz w:val="14"/>
        </w:rPr>
        <w:t>. As our lowest category is 0 to 30 days, the minimum average payment term is 15 days in our survey.</w:t>
      </w:r>
      <w:r w:rsidR="007D1D3A">
        <w:rPr>
          <w:rFonts w:asciiTheme="minorHAnsi" w:hAnsiTheme="minorHAnsi"/>
          <w:sz w:val="14"/>
        </w:rPr>
        <w:t xml:space="preserve"> We keep here the category 0 to 30 days although in Germany the “normal” payment term begins at 14 days, to make the data comparable to the results of our other international corporate payment surveys.</w:t>
      </w:r>
    </w:p>
  </w:footnote>
  <w:footnote w:id="8">
    <w:p w14:paraId="5DB136E3" w14:textId="03E326B0" w:rsidR="00037654" w:rsidRPr="00037654" w:rsidRDefault="00037654">
      <w:pPr>
        <w:pStyle w:val="Funotentext"/>
        <w:rPr>
          <w:rFonts w:asciiTheme="minorHAnsi" w:hAnsiTheme="minorHAnsi" w:cstheme="minorHAnsi"/>
          <w:sz w:val="14"/>
          <w:szCs w:val="14"/>
        </w:rPr>
      </w:pPr>
      <w:r w:rsidRPr="00037654">
        <w:rPr>
          <w:rStyle w:val="Funotenzeichen"/>
          <w:rFonts w:asciiTheme="minorHAnsi" w:hAnsiTheme="minorHAnsi" w:cstheme="minorHAnsi"/>
          <w:sz w:val="14"/>
          <w:szCs w:val="14"/>
        </w:rPr>
        <w:footnoteRef/>
      </w:r>
      <w:r w:rsidRPr="00037654">
        <w:rPr>
          <w:rFonts w:asciiTheme="minorHAnsi" w:hAnsiTheme="minorHAnsi" w:cstheme="minorHAnsi"/>
          <w:sz w:val="14"/>
          <w:szCs w:val="14"/>
        </w:rPr>
        <w:t xml:space="preserve"> </w:t>
      </w:r>
      <w:proofErr w:type="spellStart"/>
      <w:r w:rsidRPr="00037654">
        <w:rPr>
          <w:rFonts w:asciiTheme="minorHAnsi" w:hAnsiTheme="minorHAnsi" w:cstheme="minorHAnsi"/>
          <w:sz w:val="14"/>
          <w:szCs w:val="14"/>
        </w:rPr>
        <w:t>Coface</w:t>
      </w:r>
      <w:proofErr w:type="spellEnd"/>
      <w:r w:rsidRPr="00037654">
        <w:rPr>
          <w:rFonts w:asciiTheme="minorHAnsi" w:hAnsiTheme="minorHAnsi" w:cstheme="minorHAnsi"/>
          <w:sz w:val="14"/>
          <w:szCs w:val="14"/>
        </w:rPr>
        <w:t xml:space="preserve"> published payment surveys in the years 2016, 2017 and 2019. </w:t>
      </w:r>
    </w:p>
  </w:footnote>
  <w:footnote w:id="9">
    <w:p w14:paraId="67C7714A" w14:textId="3865B8EF" w:rsidR="00694A19" w:rsidRPr="00B91E8E" w:rsidRDefault="00694A19" w:rsidP="00900CA4">
      <w:pPr>
        <w:pStyle w:val="Funotentext"/>
        <w:rPr>
          <w:rFonts w:asciiTheme="minorHAnsi" w:hAnsiTheme="minorHAnsi"/>
          <w:lang w:val="en-US"/>
        </w:rPr>
      </w:pPr>
      <w:r w:rsidRPr="00B91E8E">
        <w:rPr>
          <w:rStyle w:val="Funotenzeichen"/>
          <w:rFonts w:asciiTheme="minorHAnsi" w:hAnsiTheme="minorHAnsi"/>
          <w:sz w:val="14"/>
        </w:rPr>
        <w:footnoteRef/>
      </w:r>
      <w:r w:rsidRPr="00B91E8E">
        <w:rPr>
          <w:rFonts w:asciiTheme="minorHAnsi" w:hAnsiTheme="minorHAnsi"/>
          <w:sz w:val="14"/>
        </w:rPr>
        <w:t xml:space="preserve"> Payment delays – the period between</w:t>
      </w:r>
      <w:r>
        <w:rPr>
          <w:rFonts w:asciiTheme="minorHAnsi" w:hAnsiTheme="minorHAnsi"/>
          <w:sz w:val="14"/>
        </w:rPr>
        <w:t xml:space="preserve"> the</w:t>
      </w:r>
      <w:r w:rsidRPr="00B91E8E">
        <w:rPr>
          <w:rFonts w:asciiTheme="minorHAnsi" w:hAnsiTheme="minorHAnsi"/>
          <w:sz w:val="14"/>
        </w:rPr>
        <w:t xml:space="preserve"> due date </w:t>
      </w:r>
      <w:r>
        <w:rPr>
          <w:rFonts w:asciiTheme="minorHAnsi" w:hAnsiTheme="minorHAnsi"/>
          <w:sz w:val="14"/>
        </w:rPr>
        <w:t xml:space="preserve">of payment </w:t>
      </w:r>
      <w:r w:rsidRPr="00B91E8E">
        <w:rPr>
          <w:rFonts w:asciiTheme="minorHAnsi" w:hAnsiTheme="minorHAnsi"/>
          <w:sz w:val="14"/>
        </w:rPr>
        <w:t>and the date the payment is made.</w:t>
      </w:r>
    </w:p>
  </w:footnote>
  <w:footnote w:id="10">
    <w:p w14:paraId="63157A4F" w14:textId="55DCA3F9" w:rsidR="00694A19" w:rsidRPr="00523EA9" w:rsidRDefault="00694A19">
      <w:pPr>
        <w:pStyle w:val="Funotentext"/>
        <w:rPr>
          <w:lang w:val="en-US"/>
        </w:rPr>
      </w:pPr>
      <w:r w:rsidRPr="00523EA9">
        <w:rPr>
          <w:rFonts w:asciiTheme="minorHAnsi" w:hAnsiTheme="minorHAnsi"/>
          <w:sz w:val="12"/>
        </w:rPr>
        <w:footnoteRef/>
      </w:r>
      <w:r w:rsidRPr="00523EA9">
        <w:rPr>
          <w:rFonts w:asciiTheme="minorHAnsi" w:hAnsiTheme="minorHAnsi"/>
          <w:sz w:val="14"/>
        </w:rPr>
        <w:t xml:space="preserve"> </w:t>
      </w:r>
      <w:r w:rsidR="0018124F">
        <w:rPr>
          <w:rFonts w:asciiTheme="minorHAnsi" w:hAnsiTheme="minorHAnsi"/>
          <w:sz w:val="14"/>
        </w:rPr>
        <w:t>T</w:t>
      </w:r>
      <w:r w:rsidRPr="00523EA9">
        <w:rPr>
          <w:rFonts w:asciiTheme="minorHAnsi" w:hAnsiTheme="minorHAnsi"/>
          <w:sz w:val="14"/>
        </w:rPr>
        <w:t xml:space="preserve">he first </w:t>
      </w:r>
      <w:proofErr w:type="spellStart"/>
      <w:r w:rsidRPr="00523EA9">
        <w:rPr>
          <w:rFonts w:asciiTheme="minorHAnsi" w:hAnsiTheme="minorHAnsi"/>
          <w:sz w:val="14"/>
        </w:rPr>
        <w:t>Coface</w:t>
      </w:r>
      <w:proofErr w:type="spellEnd"/>
      <w:r w:rsidRPr="00523EA9">
        <w:rPr>
          <w:rFonts w:asciiTheme="minorHAnsi" w:hAnsiTheme="minorHAnsi"/>
          <w:sz w:val="14"/>
        </w:rPr>
        <w:t xml:space="preserve"> Corporate Payment Survey for Germany </w:t>
      </w:r>
      <w:r w:rsidR="0018124F">
        <w:rPr>
          <w:rFonts w:asciiTheme="minorHAnsi" w:hAnsiTheme="minorHAnsi"/>
          <w:sz w:val="14"/>
        </w:rPr>
        <w:t xml:space="preserve">was published </w:t>
      </w:r>
      <w:r w:rsidRPr="00523EA9">
        <w:rPr>
          <w:rFonts w:asciiTheme="minorHAnsi" w:hAnsiTheme="minorHAnsi"/>
          <w:sz w:val="14"/>
        </w:rPr>
        <w:t>in 2016.</w:t>
      </w:r>
    </w:p>
  </w:footnote>
  <w:footnote w:id="11">
    <w:p w14:paraId="518B7E12" w14:textId="1A3A9E6E" w:rsidR="00694A19" w:rsidRPr="007670EB" w:rsidRDefault="00694A19">
      <w:pPr>
        <w:pStyle w:val="Funotentext"/>
        <w:rPr>
          <w:lang w:val="en-US"/>
        </w:rPr>
      </w:pPr>
      <w:r w:rsidRPr="007670EB">
        <w:rPr>
          <w:rFonts w:asciiTheme="minorHAnsi" w:hAnsiTheme="minorHAnsi"/>
          <w:sz w:val="14"/>
        </w:rPr>
        <w:footnoteRef/>
      </w:r>
      <w:r w:rsidRPr="007670EB">
        <w:rPr>
          <w:rFonts w:asciiTheme="minorHAnsi" w:hAnsiTheme="minorHAnsi"/>
          <w:sz w:val="14"/>
        </w:rPr>
        <w:t xml:space="preserve"> Balance points = share of people expecting a better economic situation </w:t>
      </w:r>
      <w:r w:rsidR="0018124F">
        <w:rPr>
          <w:rFonts w:asciiTheme="minorHAnsi" w:hAnsiTheme="minorHAnsi"/>
          <w:sz w:val="14"/>
        </w:rPr>
        <w:t xml:space="preserve">than the year before </w:t>
      </w:r>
      <w:r w:rsidRPr="007670EB">
        <w:rPr>
          <w:rFonts w:asciiTheme="minorHAnsi" w:hAnsiTheme="minorHAnsi"/>
          <w:sz w:val="14"/>
        </w:rPr>
        <w:t>–</w:t>
      </w:r>
      <w:r w:rsidR="0018124F">
        <w:rPr>
          <w:rFonts w:asciiTheme="minorHAnsi" w:hAnsiTheme="minorHAnsi"/>
          <w:sz w:val="14"/>
        </w:rPr>
        <w:t xml:space="preserve"> </w:t>
      </w:r>
      <w:r w:rsidRPr="007670EB">
        <w:rPr>
          <w:rFonts w:asciiTheme="minorHAnsi" w:hAnsiTheme="minorHAnsi"/>
          <w:sz w:val="14"/>
        </w:rPr>
        <w:t>share of people expecting a worse economic situation than the year before</w:t>
      </w:r>
    </w:p>
  </w:footnote>
  <w:footnote w:id="12">
    <w:p w14:paraId="439A3EF1" w14:textId="4DC1ACD9" w:rsidR="00D524FD" w:rsidRPr="00D524FD" w:rsidRDefault="00D524FD">
      <w:pPr>
        <w:pStyle w:val="Funotentext"/>
        <w:rPr>
          <w:rFonts w:asciiTheme="minorHAnsi" w:hAnsiTheme="minorHAnsi" w:cstheme="minorHAnsi"/>
          <w:sz w:val="14"/>
          <w:szCs w:val="14"/>
        </w:rPr>
      </w:pPr>
      <w:r w:rsidRPr="00D524FD">
        <w:rPr>
          <w:rStyle w:val="Funotenzeichen"/>
          <w:rFonts w:asciiTheme="minorHAnsi" w:hAnsiTheme="minorHAnsi" w:cstheme="minorHAnsi"/>
          <w:sz w:val="14"/>
          <w:szCs w:val="14"/>
        </w:rPr>
        <w:footnoteRef/>
      </w:r>
      <w:r w:rsidRPr="00D524FD">
        <w:rPr>
          <w:rFonts w:asciiTheme="minorHAnsi" w:hAnsiTheme="minorHAnsi" w:cstheme="minorHAnsi"/>
          <w:sz w:val="14"/>
          <w:szCs w:val="14"/>
        </w:rPr>
        <w:t xml:space="preserve"> There were years when the current economic situation was seen more negative, but this is the first year with so negative expectation levels for the coming year. </w:t>
      </w:r>
    </w:p>
  </w:footnote>
  <w:footnote w:id="13">
    <w:p w14:paraId="5FB47CD7" w14:textId="0C8B6246" w:rsidR="00694A19" w:rsidRPr="0067351F" w:rsidRDefault="00694A19">
      <w:pPr>
        <w:pStyle w:val="Funotentext"/>
        <w:rPr>
          <w:rFonts w:asciiTheme="minorHAnsi" w:hAnsiTheme="minorHAnsi"/>
          <w:sz w:val="14"/>
        </w:rPr>
      </w:pPr>
      <w:r w:rsidRPr="0067351F">
        <w:rPr>
          <w:rFonts w:asciiTheme="minorHAnsi" w:hAnsiTheme="minorHAnsi"/>
          <w:sz w:val="14"/>
        </w:rPr>
        <w:footnoteRef/>
      </w:r>
      <w:r w:rsidRPr="0067351F">
        <w:rPr>
          <w:rFonts w:asciiTheme="minorHAnsi" w:hAnsiTheme="minorHAnsi"/>
          <w:sz w:val="14"/>
        </w:rPr>
        <w:t xml:space="preserve"> In this question, participants </w:t>
      </w:r>
      <w:r w:rsidR="0018124F">
        <w:rPr>
          <w:rFonts w:asciiTheme="minorHAnsi" w:hAnsiTheme="minorHAnsi"/>
          <w:sz w:val="14"/>
        </w:rPr>
        <w:t>were able to choose</w:t>
      </w:r>
      <w:r w:rsidR="0018124F" w:rsidRPr="0067351F">
        <w:rPr>
          <w:rFonts w:asciiTheme="minorHAnsi" w:hAnsiTheme="minorHAnsi"/>
          <w:sz w:val="14"/>
        </w:rPr>
        <w:t xml:space="preserve"> </w:t>
      </w:r>
      <w:r w:rsidRPr="0067351F">
        <w:rPr>
          <w:rFonts w:asciiTheme="minorHAnsi" w:hAnsiTheme="minorHAnsi"/>
          <w:sz w:val="14"/>
        </w:rPr>
        <w:t>several answers. This is why the share of the answers do not add up to 100%.</w:t>
      </w:r>
    </w:p>
  </w:footnote>
  <w:footnote w:id="14">
    <w:p w14:paraId="604D4B46" w14:textId="500306C8" w:rsidR="009F4BF2" w:rsidRPr="009F4BF2" w:rsidRDefault="009F4BF2">
      <w:pPr>
        <w:pStyle w:val="Funotentext"/>
        <w:rPr>
          <w:rFonts w:asciiTheme="minorHAnsi" w:hAnsiTheme="minorHAnsi" w:cstheme="minorHAnsi"/>
        </w:rPr>
      </w:pPr>
      <w:r w:rsidRPr="009F4BF2">
        <w:rPr>
          <w:rStyle w:val="Funotenzeichen"/>
          <w:rFonts w:asciiTheme="minorHAnsi" w:hAnsiTheme="minorHAnsi" w:cstheme="minorHAnsi"/>
          <w:sz w:val="14"/>
        </w:rPr>
        <w:footnoteRef/>
      </w:r>
      <w:r w:rsidRPr="009F4BF2">
        <w:rPr>
          <w:rFonts w:asciiTheme="minorHAnsi" w:hAnsiTheme="minorHAnsi" w:cstheme="minorHAnsi"/>
          <w:sz w:val="14"/>
        </w:rPr>
        <w:t xml:space="preserve"> Switzerland, Norway, Lichtenstein and Iceland</w:t>
      </w:r>
    </w:p>
  </w:footnote>
  <w:footnote w:id="15">
    <w:p w14:paraId="463168FA" w14:textId="77777777" w:rsidR="005E1C5A" w:rsidRPr="0067351F" w:rsidRDefault="005E1C5A" w:rsidP="005E1C5A">
      <w:pPr>
        <w:pStyle w:val="Funotentext"/>
        <w:rPr>
          <w:lang w:val="en-US"/>
        </w:rPr>
      </w:pPr>
      <w:r w:rsidRPr="0067351F">
        <w:rPr>
          <w:rFonts w:asciiTheme="minorHAnsi" w:hAnsiTheme="minorHAnsi"/>
          <w:sz w:val="14"/>
        </w:rPr>
        <w:footnoteRef/>
      </w:r>
      <w:r w:rsidRPr="0067351F">
        <w:rPr>
          <w:rFonts w:asciiTheme="minorHAnsi" w:hAnsiTheme="minorHAnsi"/>
          <w:sz w:val="14"/>
        </w:rPr>
        <w:t xml:space="preserve"> Again, several answers were possible per participant.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C6"/>
    <w:multiLevelType w:val="hybridMultilevel"/>
    <w:tmpl w:val="626C67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8D62AE"/>
    <w:multiLevelType w:val="hybridMultilevel"/>
    <w:tmpl w:val="F20E9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18694B"/>
    <w:multiLevelType w:val="hybridMultilevel"/>
    <w:tmpl w:val="C5365BE2"/>
    <w:lvl w:ilvl="0" w:tplc="F718D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1D05DE"/>
    <w:multiLevelType w:val="hybridMultilevel"/>
    <w:tmpl w:val="FCEED4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A"/>
    <w:rsid w:val="00000EC6"/>
    <w:rsid w:val="00010848"/>
    <w:rsid w:val="00015707"/>
    <w:rsid w:val="00020C3D"/>
    <w:rsid w:val="00020DD8"/>
    <w:rsid w:val="00022A67"/>
    <w:rsid w:val="0002369F"/>
    <w:rsid w:val="00033E11"/>
    <w:rsid w:val="00036D67"/>
    <w:rsid w:val="00037654"/>
    <w:rsid w:val="00042A1F"/>
    <w:rsid w:val="00046700"/>
    <w:rsid w:val="000476A7"/>
    <w:rsid w:val="00052718"/>
    <w:rsid w:val="00057830"/>
    <w:rsid w:val="00062DD2"/>
    <w:rsid w:val="00065683"/>
    <w:rsid w:val="0006619A"/>
    <w:rsid w:val="00073ADB"/>
    <w:rsid w:val="00073E75"/>
    <w:rsid w:val="00076C71"/>
    <w:rsid w:val="00082ACB"/>
    <w:rsid w:val="00082EFD"/>
    <w:rsid w:val="00092835"/>
    <w:rsid w:val="00096E08"/>
    <w:rsid w:val="00097268"/>
    <w:rsid w:val="000B1413"/>
    <w:rsid w:val="000C2128"/>
    <w:rsid w:val="000C6E93"/>
    <w:rsid w:val="000C74B1"/>
    <w:rsid w:val="000E1B34"/>
    <w:rsid w:val="000E307B"/>
    <w:rsid w:val="000E5B6B"/>
    <w:rsid w:val="000F03D5"/>
    <w:rsid w:val="000F153C"/>
    <w:rsid w:val="000F3632"/>
    <w:rsid w:val="000F3FB5"/>
    <w:rsid w:val="000F4C3B"/>
    <w:rsid w:val="00104A3F"/>
    <w:rsid w:val="001058F0"/>
    <w:rsid w:val="00116D8A"/>
    <w:rsid w:val="00125A66"/>
    <w:rsid w:val="0012754C"/>
    <w:rsid w:val="00127892"/>
    <w:rsid w:val="0013646D"/>
    <w:rsid w:val="00136C55"/>
    <w:rsid w:val="0013700B"/>
    <w:rsid w:val="00140533"/>
    <w:rsid w:val="00141110"/>
    <w:rsid w:val="00142207"/>
    <w:rsid w:val="00150365"/>
    <w:rsid w:val="00152F9A"/>
    <w:rsid w:val="00155CC6"/>
    <w:rsid w:val="00162514"/>
    <w:rsid w:val="0016637C"/>
    <w:rsid w:val="00167841"/>
    <w:rsid w:val="00167CE6"/>
    <w:rsid w:val="00175848"/>
    <w:rsid w:val="00176682"/>
    <w:rsid w:val="00180052"/>
    <w:rsid w:val="001811AE"/>
    <w:rsid w:val="0018124F"/>
    <w:rsid w:val="00182A53"/>
    <w:rsid w:val="00190285"/>
    <w:rsid w:val="00192139"/>
    <w:rsid w:val="0019219D"/>
    <w:rsid w:val="00193A44"/>
    <w:rsid w:val="0019587C"/>
    <w:rsid w:val="00197236"/>
    <w:rsid w:val="00197567"/>
    <w:rsid w:val="001A5660"/>
    <w:rsid w:val="001A65A8"/>
    <w:rsid w:val="001B1775"/>
    <w:rsid w:val="001D2AB9"/>
    <w:rsid w:val="001D301D"/>
    <w:rsid w:val="001D7E91"/>
    <w:rsid w:val="001E0E9F"/>
    <w:rsid w:val="001E1EFE"/>
    <w:rsid w:val="001E5776"/>
    <w:rsid w:val="001E59F5"/>
    <w:rsid w:val="001E7A2C"/>
    <w:rsid w:val="001F2917"/>
    <w:rsid w:val="001F42A8"/>
    <w:rsid w:val="001F462A"/>
    <w:rsid w:val="00200D85"/>
    <w:rsid w:val="00201566"/>
    <w:rsid w:val="002018B3"/>
    <w:rsid w:val="002029EB"/>
    <w:rsid w:val="00203906"/>
    <w:rsid w:val="00205490"/>
    <w:rsid w:val="00205493"/>
    <w:rsid w:val="00211AC4"/>
    <w:rsid w:val="00211BF6"/>
    <w:rsid w:val="00212940"/>
    <w:rsid w:val="002149D4"/>
    <w:rsid w:val="00220455"/>
    <w:rsid w:val="00225AF7"/>
    <w:rsid w:val="00226D50"/>
    <w:rsid w:val="002321DF"/>
    <w:rsid w:val="0023228F"/>
    <w:rsid w:val="00233AB9"/>
    <w:rsid w:val="002422E4"/>
    <w:rsid w:val="00242F56"/>
    <w:rsid w:val="002443C4"/>
    <w:rsid w:val="00247B8B"/>
    <w:rsid w:val="00254EB5"/>
    <w:rsid w:val="0025771F"/>
    <w:rsid w:val="002618CA"/>
    <w:rsid w:val="002654BE"/>
    <w:rsid w:val="00271772"/>
    <w:rsid w:val="0027453F"/>
    <w:rsid w:val="00276A3F"/>
    <w:rsid w:val="00284A9E"/>
    <w:rsid w:val="00287BB3"/>
    <w:rsid w:val="00290E3A"/>
    <w:rsid w:val="002C2BD0"/>
    <w:rsid w:val="002D0B6E"/>
    <w:rsid w:val="002D4969"/>
    <w:rsid w:val="002D4C07"/>
    <w:rsid w:val="002D589F"/>
    <w:rsid w:val="002E5A3C"/>
    <w:rsid w:val="002E5CCF"/>
    <w:rsid w:val="002E70A1"/>
    <w:rsid w:val="002F329C"/>
    <w:rsid w:val="002F39A7"/>
    <w:rsid w:val="002F4E02"/>
    <w:rsid w:val="002F5036"/>
    <w:rsid w:val="002F7007"/>
    <w:rsid w:val="00303BB5"/>
    <w:rsid w:val="003043B5"/>
    <w:rsid w:val="003059C2"/>
    <w:rsid w:val="00311879"/>
    <w:rsid w:val="00312CEA"/>
    <w:rsid w:val="00314AA3"/>
    <w:rsid w:val="00315D64"/>
    <w:rsid w:val="00325E65"/>
    <w:rsid w:val="00334BDF"/>
    <w:rsid w:val="0034006E"/>
    <w:rsid w:val="00350DEA"/>
    <w:rsid w:val="00351EDD"/>
    <w:rsid w:val="003551FA"/>
    <w:rsid w:val="00360C59"/>
    <w:rsid w:val="0036170C"/>
    <w:rsid w:val="00362A85"/>
    <w:rsid w:val="00366832"/>
    <w:rsid w:val="003723A3"/>
    <w:rsid w:val="0037606E"/>
    <w:rsid w:val="0038538C"/>
    <w:rsid w:val="00396AB1"/>
    <w:rsid w:val="00396CB9"/>
    <w:rsid w:val="00396FB6"/>
    <w:rsid w:val="003A2180"/>
    <w:rsid w:val="003A40E4"/>
    <w:rsid w:val="003B3253"/>
    <w:rsid w:val="003B70F2"/>
    <w:rsid w:val="003B7C29"/>
    <w:rsid w:val="003C4A46"/>
    <w:rsid w:val="003D0F43"/>
    <w:rsid w:val="003E4F19"/>
    <w:rsid w:val="003E5BA1"/>
    <w:rsid w:val="003F1E11"/>
    <w:rsid w:val="003F3483"/>
    <w:rsid w:val="003F43CE"/>
    <w:rsid w:val="003F6D60"/>
    <w:rsid w:val="00400494"/>
    <w:rsid w:val="00404278"/>
    <w:rsid w:val="00405590"/>
    <w:rsid w:val="00405629"/>
    <w:rsid w:val="00410591"/>
    <w:rsid w:val="004109E9"/>
    <w:rsid w:val="00413699"/>
    <w:rsid w:val="004142CE"/>
    <w:rsid w:val="00414C4A"/>
    <w:rsid w:val="004245C9"/>
    <w:rsid w:val="00425EAF"/>
    <w:rsid w:val="004278D6"/>
    <w:rsid w:val="00434AF4"/>
    <w:rsid w:val="00435EE2"/>
    <w:rsid w:val="00436D4D"/>
    <w:rsid w:val="0044405E"/>
    <w:rsid w:val="00446679"/>
    <w:rsid w:val="00446A1D"/>
    <w:rsid w:val="0044722C"/>
    <w:rsid w:val="004515A6"/>
    <w:rsid w:val="00451E9C"/>
    <w:rsid w:val="00461543"/>
    <w:rsid w:val="00464D80"/>
    <w:rsid w:val="004712D6"/>
    <w:rsid w:val="0047231D"/>
    <w:rsid w:val="00474FDC"/>
    <w:rsid w:val="00480C59"/>
    <w:rsid w:val="00481AB1"/>
    <w:rsid w:val="004821A1"/>
    <w:rsid w:val="00487FC9"/>
    <w:rsid w:val="0049244F"/>
    <w:rsid w:val="004962E5"/>
    <w:rsid w:val="004A71B2"/>
    <w:rsid w:val="004A7355"/>
    <w:rsid w:val="004B2C7F"/>
    <w:rsid w:val="004B2F07"/>
    <w:rsid w:val="004B541A"/>
    <w:rsid w:val="004B722B"/>
    <w:rsid w:val="004C1373"/>
    <w:rsid w:val="004C1598"/>
    <w:rsid w:val="004C2537"/>
    <w:rsid w:val="004D2802"/>
    <w:rsid w:val="004D7306"/>
    <w:rsid w:val="004E16CD"/>
    <w:rsid w:val="004E1701"/>
    <w:rsid w:val="004E1D8A"/>
    <w:rsid w:val="004E7FD0"/>
    <w:rsid w:val="004F179B"/>
    <w:rsid w:val="004F2560"/>
    <w:rsid w:val="004F2DA3"/>
    <w:rsid w:val="004F75A6"/>
    <w:rsid w:val="0050100B"/>
    <w:rsid w:val="005012C8"/>
    <w:rsid w:val="00502C7F"/>
    <w:rsid w:val="00503541"/>
    <w:rsid w:val="00505C65"/>
    <w:rsid w:val="00507C94"/>
    <w:rsid w:val="0051262D"/>
    <w:rsid w:val="00513A83"/>
    <w:rsid w:val="00513EE3"/>
    <w:rsid w:val="00516FA2"/>
    <w:rsid w:val="00520554"/>
    <w:rsid w:val="00523A22"/>
    <w:rsid w:val="00523EA9"/>
    <w:rsid w:val="00524C38"/>
    <w:rsid w:val="00526A1C"/>
    <w:rsid w:val="00531787"/>
    <w:rsid w:val="00543AEF"/>
    <w:rsid w:val="005746C1"/>
    <w:rsid w:val="00575C4A"/>
    <w:rsid w:val="0058136A"/>
    <w:rsid w:val="005914B0"/>
    <w:rsid w:val="0059248A"/>
    <w:rsid w:val="0059523A"/>
    <w:rsid w:val="0059701B"/>
    <w:rsid w:val="005B3FAD"/>
    <w:rsid w:val="005C1078"/>
    <w:rsid w:val="005C5E30"/>
    <w:rsid w:val="005C64E7"/>
    <w:rsid w:val="005D0155"/>
    <w:rsid w:val="005D6F4A"/>
    <w:rsid w:val="005E1C5A"/>
    <w:rsid w:val="005E40FA"/>
    <w:rsid w:val="005E6DB2"/>
    <w:rsid w:val="005F4896"/>
    <w:rsid w:val="006079FA"/>
    <w:rsid w:val="00607F02"/>
    <w:rsid w:val="00612290"/>
    <w:rsid w:val="00621A17"/>
    <w:rsid w:val="006442F0"/>
    <w:rsid w:val="00651C2D"/>
    <w:rsid w:val="006523FC"/>
    <w:rsid w:val="00662C21"/>
    <w:rsid w:val="0067351F"/>
    <w:rsid w:val="00673EDD"/>
    <w:rsid w:val="006748AC"/>
    <w:rsid w:val="00674A7F"/>
    <w:rsid w:val="006804BA"/>
    <w:rsid w:val="00687594"/>
    <w:rsid w:val="00687CB3"/>
    <w:rsid w:val="00694A19"/>
    <w:rsid w:val="006A2D00"/>
    <w:rsid w:val="006A4446"/>
    <w:rsid w:val="006A5D64"/>
    <w:rsid w:val="006B211E"/>
    <w:rsid w:val="006C07C7"/>
    <w:rsid w:val="006C4EFD"/>
    <w:rsid w:val="006C55BB"/>
    <w:rsid w:val="006C69BC"/>
    <w:rsid w:val="006E17E0"/>
    <w:rsid w:val="006F6CDA"/>
    <w:rsid w:val="00704A36"/>
    <w:rsid w:val="007264BB"/>
    <w:rsid w:val="007274B1"/>
    <w:rsid w:val="00731520"/>
    <w:rsid w:val="00732E78"/>
    <w:rsid w:val="00737158"/>
    <w:rsid w:val="0074315F"/>
    <w:rsid w:val="00744399"/>
    <w:rsid w:val="0074704E"/>
    <w:rsid w:val="00751673"/>
    <w:rsid w:val="00752293"/>
    <w:rsid w:val="00752C4B"/>
    <w:rsid w:val="0075508F"/>
    <w:rsid w:val="007555CD"/>
    <w:rsid w:val="0075743B"/>
    <w:rsid w:val="00764310"/>
    <w:rsid w:val="00765184"/>
    <w:rsid w:val="007670EB"/>
    <w:rsid w:val="0076753F"/>
    <w:rsid w:val="00773DEF"/>
    <w:rsid w:val="00785139"/>
    <w:rsid w:val="0078646A"/>
    <w:rsid w:val="00795BBD"/>
    <w:rsid w:val="007A010B"/>
    <w:rsid w:val="007A122C"/>
    <w:rsid w:val="007A195C"/>
    <w:rsid w:val="007A3115"/>
    <w:rsid w:val="007A57A2"/>
    <w:rsid w:val="007A65BB"/>
    <w:rsid w:val="007A7953"/>
    <w:rsid w:val="007B19C0"/>
    <w:rsid w:val="007B2BCE"/>
    <w:rsid w:val="007B60C8"/>
    <w:rsid w:val="007C21A4"/>
    <w:rsid w:val="007D1D3A"/>
    <w:rsid w:val="007E0747"/>
    <w:rsid w:val="007F0214"/>
    <w:rsid w:val="007F04AD"/>
    <w:rsid w:val="00811953"/>
    <w:rsid w:val="00812012"/>
    <w:rsid w:val="00812201"/>
    <w:rsid w:val="0082041B"/>
    <w:rsid w:val="00823822"/>
    <w:rsid w:val="00824228"/>
    <w:rsid w:val="00827585"/>
    <w:rsid w:val="00830E3D"/>
    <w:rsid w:val="0083151A"/>
    <w:rsid w:val="0084289A"/>
    <w:rsid w:val="008432AF"/>
    <w:rsid w:val="0084348D"/>
    <w:rsid w:val="00846DAA"/>
    <w:rsid w:val="008470A3"/>
    <w:rsid w:val="00851F3A"/>
    <w:rsid w:val="0085683A"/>
    <w:rsid w:val="00861003"/>
    <w:rsid w:val="0086208B"/>
    <w:rsid w:val="0086754E"/>
    <w:rsid w:val="00867591"/>
    <w:rsid w:val="00867822"/>
    <w:rsid w:val="00867C4C"/>
    <w:rsid w:val="00872A2E"/>
    <w:rsid w:val="00874F7B"/>
    <w:rsid w:val="008751A9"/>
    <w:rsid w:val="008802AA"/>
    <w:rsid w:val="0088165D"/>
    <w:rsid w:val="00890222"/>
    <w:rsid w:val="00890359"/>
    <w:rsid w:val="00890425"/>
    <w:rsid w:val="0089078A"/>
    <w:rsid w:val="00893F18"/>
    <w:rsid w:val="008A2EA7"/>
    <w:rsid w:val="008A41B8"/>
    <w:rsid w:val="008A577E"/>
    <w:rsid w:val="008A5A47"/>
    <w:rsid w:val="008B4DFB"/>
    <w:rsid w:val="008B64C7"/>
    <w:rsid w:val="008B75B2"/>
    <w:rsid w:val="008C009D"/>
    <w:rsid w:val="008C3FE4"/>
    <w:rsid w:val="008C7811"/>
    <w:rsid w:val="008D5CCC"/>
    <w:rsid w:val="008E07E6"/>
    <w:rsid w:val="008E4A25"/>
    <w:rsid w:val="008E7615"/>
    <w:rsid w:val="008F6B79"/>
    <w:rsid w:val="008F73CB"/>
    <w:rsid w:val="00900CA4"/>
    <w:rsid w:val="00925F43"/>
    <w:rsid w:val="00926CCC"/>
    <w:rsid w:val="00927C6E"/>
    <w:rsid w:val="00934447"/>
    <w:rsid w:val="00947A26"/>
    <w:rsid w:val="009532EF"/>
    <w:rsid w:val="00954B44"/>
    <w:rsid w:val="00954DC1"/>
    <w:rsid w:val="009644E3"/>
    <w:rsid w:val="00966988"/>
    <w:rsid w:val="00967234"/>
    <w:rsid w:val="00970F87"/>
    <w:rsid w:val="009748FC"/>
    <w:rsid w:val="009776E4"/>
    <w:rsid w:val="00984412"/>
    <w:rsid w:val="00991797"/>
    <w:rsid w:val="009929AD"/>
    <w:rsid w:val="0099798B"/>
    <w:rsid w:val="009A4CBB"/>
    <w:rsid w:val="009C0917"/>
    <w:rsid w:val="009C37D7"/>
    <w:rsid w:val="009C6AB6"/>
    <w:rsid w:val="009D1C6A"/>
    <w:rsid w:val="009D3CC2"/>
    <w:rsid w:val="009E346F"/>
    <w:rsid w:val="009F4BF2"/>
    <w:rsid w:val="009F59FB"/>
    <w:rsid w:val="00A02920"/>
    <w:rsid w:val="00A04609"/>
    <w:rsid w:val="00A15A1E"/>
    <w:rsid w:val="00A16976"/>
    <w:rsid w:val="00A175A3"/>
    <w:rsid w:val="00A20A7C"/>
    <w:rsid w:val="00A20BF0"/>
    <w:rsid w:val="00A22470"/>
    <w:rsid w:val="00A3018A"/>
    <w:rsid w:val="00A31E7D"/>
    <w:rsid w:val="00A34A2B"/>
    <w:rsid w:val="00A37600"/>
    <w:rsid w:val="00A37FFC"/>
    <w:rsid w:val="00A51BC8"/>
    <w:rsid w:val="00A55B32"/>
    <w:rsid w:val="00A57FA4"/>
    <w:rsid w:val="00A639F0"/>
    <w:rsid w:val="00A66505"/>
    <w:rsid w:val="00A816C6"/>
    <w:rsid w:val="00A84AB1"/>
    <w:rsid w:val="00A85525"/>
    <w:rsid w:val="00A85B2C"/>
    <w:rsid w:val="00A85C31"/>
    <w:rsid w:val="00AA31FB"/>
    <w:rsid w:val="00AA5B98"/>
    <w:rsid w:val="00AA5D8F"/>
    <w:rsid w:val="00AA5E81"/>
    <w:rsid w:val="00AA74C4"/>
    <w:rsid w:val="00AB2EBD"/>
    <w:rsid w:val="00AB35BA"/>
    <w:rsid w:val="00AB3891"/>
    <w:rsid w:val="00AC18A6"/>
    <w:rsid w:val="00AD086B"/>
    <w:rsid w:val="00AE1F3B"/>
    <w:rsid w:val="00AF1B51"/>
    <w:rsid w:val="00AF2E9A"/>
    <w:rsid w:val="00B00F7E"/>
    <w:rsid w:val="00B02326"/>
    <w:rsid w:val="00B048BC"/>
    <w:rsid w:val="00B052BA"/>
    <w:rsid w:val="00B06BA0"/>
    <w:rsid w:val="00B10248"/>
    <w:rsid w:val="00B128A9"/>
    <w:rsid w:val="00B13891"/>
    <w:rsid w:val="00B15E07"/>
    <w:rsid w:val="00B22DE6"/>
    <w:rsid w:val="00B238C5"/>
    <w:rsid w:val="00B24EC7"/>
    <w:rsid w:val="00B30BE9"/>
    <w:rsid w:val="00B316CF"/>
    <w:rsid w:val="00B33112"/>
    <w:rsid w:val="00B332EE"/>
    <w:rsid w:val="00B3498B"/>
    <w:rsid w:val="00B51B31"/>
    <w:rsid w:val="00B52434"/>
    <w:rsid w:val="00B54DBE"/>
    <w:rsid w:val="00B55EA5"/>
    <w:rsid w:val="00B62155"/>
    <w:rsid w:val="00B656CE"/>
    <w:rsid w:val="00B71BA9"/>
    <w:rsid w:val="00B733AE"/>
    <w:rsid w:val="00B7516B"/>
    <w:rsid w:val="00B76D6A"/>
    <w:rsid w:val="00B80287"/>
    <w:rsid w:val="00B823B1"/>
    <w:rsid w:val="00B84D2D"/>
    <w:rsid w:val="00B85FEB"/>
    <w:rsid w:val="00B91E8E"/>
    <w:rsid w:val="00B92655"/>
    <w:rsid w:val="00BB040C"/>
    <w:rsid w:val="00BB6C80"/>
    <w:rsid w:val="00BC2C18"/>
    <w:rsid w:val="00BD0DB5"/>
    <w:rsid w:val="00BD33FB"/>
    <w:rsid w:val="00BD3735"/>
    <w:rsid w:val="00BD3CC7"/>
    <w:rsid w:val="00BD4456"/>
    <w:rsid w:val="00BD6210"/>
    <w:rsid w:val="00BE2E39"/>
    <w:rsid w:val="00BE3253"/>
    <w:rsid w:val="00BE687F"/>
    <w:rsid w:val="00BF05B6"/>
    <w:rsid w:val="00BF3A46"/>
    <w:rsid w:val="00BF49DB"/>
    <w:rsid w:val="00BF6894"/>
    <w:rsid w:val="00C000D4"/>
    <w:rsid w:val="00C027BF"/>
    <w:rsid w:val="00C036FB"/>
    <w:rsid w:val="00C16182"/>
    <w:rsid w:val="00C21BBA"/>
    <w:rsid w:val="00C223AE"/>
    <w:rsid w:val="00C2357D"/>
    <w:rsid w:val="00C411F7"/>
    <w:rsid w:val="00C445BC"/>
    <w:rsid w:val="00C461D0"/>
    <w:rsid w:val="00C518EC"/>
    <w:rsid w:val="00C62B70"/>
    <w:rsid w:val="00C643B6"/>
    <w:rsid w:val="00C76C5D"/>
    <w:rsid w:val="00C81FE8"/>
    <w:rsid w:val="00C83B75"/>
    <w:rsid w:val="00C8624A"/>
    <w:rsid w:val="00C86C25"/>
    <w:rsid w:val="00C91748"/>
    <w:rsid w:val="00C9317B"/>
    <w:rsid w:val="00CA163E"/>
    <w:rsid w:val="00CA398E"/>
    <w:rsid w:val="00CA7E1C"/>
    <w:rsid w:val="00CB1434"/>
    <w:rsid w:val="00CB1E87"/>
    <w:rsid w:val="00CB6453"/>
    <w:rsid w:val="00CC04D5"/>
    <w:rsid w:val="00CC286C"/>
    <w:rsid w:val="00CD5ABD"/>
    <w:rsid w:val="00CD65AC"/>
    <w:rsid w:val="00CD6756"/>
    <w:rsid w:val="00CE3829"/>
    <w:rsid w:val="00CE4F6C"/>
    <w:rsid w:val="00CF01A0"/>
    <w:rsid w:val="00CF1612"/>
    <w:rsid w:val="00CF1F45"/>
    <w:rsid w:val="00CF405B"/>
    <w:rsid w:val="00D008A9"/>
    <w:rsid w:val="00D00F1D"/>
    <w:rsid w:val="00D06D9C"/>
    <w:rsid w:val="00D135BA"/>
    <w:rsid w:val="00D36975"/>
    <w:rsid w:val="00D42B32"/>
    <w:rsid w:val="00D42C8A"/>
    <w:rsid w:val="00D43EBE"/>
    <w:rsid w:val="00D524FD"/>
    <w:rsid w:val="00D56FF0"/>
    <w:rsid w:val="00D57A00"/>
    <w:rsid w:val="00D61B35"/>
    <w:rsid w:val="00D62D07"/>
    <w:rsid w:val="00D636E3"/>
    <w:rsid w:val="00D764E9"/>
    <w:rsid w:val="00D804FC"/>
    <w:rsid w:val="00D80A8F"/>
    <w:rsid w:val="00D8325F"/>
    <w:rsid w:val="00D871B0"/>
    <w:rsid w:val="00D90EA9"/>
    <w:rsid w:val="00D94B14"/>
    <w:rsid w:val="00D95DFC"/>
    <w:rsid w:val="00D96CD0"/>
    <w:rsid w:val="00D97483"/>
    <w:rsid w:val="00DA04CD"/>
    <w:rsid w:val="00DA5D32"/>
    <w:rsid w:val="00DA6452"/>
    <w:rsid w:val="00DB5BC7"/>
    <w:rsid w:val="00DB5E28"/>
    <w:rsid w:val="00DC1CB4"/>
    <w:rsid w:val="00DC2B13"/>
    <w:rsid w:val="00DC3C6E"/>
    <w:rsid w:val="00DD200B"/>
    <w:rsid w:val="00DD3E39"/>
    <w:rsid w:val="00DD6753"/>
    <w:rsid w:val="00DD7276"/>
    <w:rsid w:val="00DF0BD2"/>
    <w:rsid w:val="00DF5120"/>
    <w:rsid w:val="00DF6A17"/>
    <w:rsid w:val="00E062D7"/>
    <w:rsid w:val="00E06E9E"/>
    <w:rsid w:val="00E06F70"/>
    <w:rsid w:val="00E165A3"/>
    <w:rsid w:val="00E24C69"/>
    <w:rsid w:val="00E35DD4"/>
    <w:rsid w:val="00E36E15"/>
    <w:rsid w:val="00E40246"/>
    <w:rsid w:val="00E41F74"/>
    <w:rsid w:val="00E46931"/>
    <w:rsid w:val="00E476AB"/>
    <w:rsid w:val="00E50C71"/>
    <w:rsid w:val="00E55506"/>
    <w:rsid w:val="00E66054"/>
    <w:rsid w:val="00E725BA"/>
    <w:rsid w:val="00E74C03"/>
    <w:rsid w:val="00E76812"/>
    <w:rsid w:val="00E77579"/>
    <w:rsid w:val="00E859A1"/>
    <w:rsid w:val="00E979F7"/>
    <w:rsid w:val="00E97FDF"/>
    <w:rsid w:val="00EA1B50"/>
    <w:rsid w:val="00EA5262"/>
    <w:rsid w:val="00EA63B7"/>
    <w:rsid w:val="00EB1355"/>
    <w:rsid w:val="00EB2198"/>
    <w:rsid w:val="00EB44B9"/>
    <w:rsid w:val="00EB45C8"/>
    <w:rsid w:val="00EB7DB2"/>
    <w:rsid w:val="00EC1261"/>
    <w:rsid w:val="00ED23F2"/>
    <w:rsid w:val="00ED2A82"/>
    <w:rsid w:val="00ED2FF2"/>
    <w:rsid w:val="00EE0573"/>
    <w:rsid w:val="00EE268C"/>
    <w:rsid w:val="00EF29B3"/>
    <w:rsid w:val="00EF7A80"/>
    <w:rsid w:val="00F01E21"/>
    <w:rsid w:val="00F01F96"/>
    <w:rsid w:val="00F04CCC"/>
    <w:rsid w:val="00F06123"/>
    <w:rsid w:val="00F20492"/>
    <w:rsid w:val="00F2463C"/>
    <w:rsid w:val="00F35542"/>
    <w:rsid w:val="00F43632"/>
    <w:rsid w:val="00F4689A"/>
    <w:rsid w:val="00F47E9B"/>
    <w:rsid w:val="00F52442"/>
    <w:rsid w:val="00F530E0"/>
    <w:rsid w:val="00F63C39"/>
    <w:rsid w:val="00F64D4A"/>
    <w:rsid w:val="00F70E87"/>
    <w:rsid w:val="00F76053"/>
    <w:rsid w:val="00F7710E"/>
    <w:rsid w:val="00F77D0D"/>
    <w:rsid w:val="00F803F6"/>
    <w:rsid w:val="00F80A9A"/>
    <w:rsid w:val="00FA0F6F"/>
    <w:rsid w:val="00FA0FF6"/>
    <w:rsid w:val="00FA2DC0"/>
    <w:rsid w:val="00FA59BE"/>
    <w:rsid w:val="00FB0B9E"/>
    <w:rsid w:val="00FB63A6"/>
    <w:rsid w:val="00FC00DF"/>
    <w:rsid w:val="00FC1026"/>
    <w:rsid w:val="00FC3E6B"/>
    <w:rsid w:val="00FC5768"/>
    <w:rsid w:val="00FD0A2D"/>
    <w:rsid w:val="00FD4A4C"/>
    <w:rsid w:val="00FE4D52"/>
    <w:rsid w:val="00FF0B04"/>
    <w:rsid w:val="00FF6EC9"/>
    <w:rsid w:val="00FF7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4C4"/>
  <w15:docId w15:val="{AFBB1778-F3A6-483D-B92B-E94247CC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B052BA"/>
    <w:rPr>
      <w:rFonts w:cs="Times New Roman"/>
      <w:vertAlign w:val="superscript"/>
    </w:rPr>
  </w:style>
  <w:style w:type="paragraph" w:styleId="Funotentext">
    <w:name w:val="footnote text"/>
    <w:basedOn w:val="Standard"/>
    <w:link w:val="FunotentextZchn"/>
    <w:rsid w:val="00B052BA"/>
    <w:pPr>
      <w:spacing w:after="0" w:line="240" w:lineRule="auto"/>
      <w:jc w:val="both"/>
    </w:pPr>
    <w:rPr>
      <w:rFonts w:ascii="Arial" w:eastAsia="MS P????" w:hAnsi="Arial" w:cs="Arial"/>
      <w:sz w:val="20"/>
      <w:szCs w:val="20"/>
      <w:lang w:val="en-GB" w:eastAsia="fr-FR"/>
    </w:rPr>
  </w:style>
  <w:style w:type="character" w:customStyle="1" w:styleId="FunotentextZchn">
    <w:name w:val="Fußnotentext Zchn"/>
    <w:basedOn w:val="Absatz-Standardschriftart"/>
    <w:link w:val="Funotentext"/>
    <w:rsid w:val="00B052BA"/>
    <w:rPr>
      <w:rFonts w:ascii="Arial" w:eastAsia="MS P????" w:hAnsi="Arial" w:cs="Arial"/>
      <w:sz w:val="20"/>
      <w:szCs w:val="20"/>
      <w:lang w:val="en-GB" w:eastAsia="fr-FR"/>
    </w:rPr>
  </w:style>
  <w:style w:type="paragraph" w:styleId="Listenabsatz">
    <w:name w:val="List Paragraph"/>
    <w:basedOn w:val="Standard"/>
    <w:uiPriority w:val="34"/>
    <w:qFormat/>
    <w:rsid w:val="00C9317B"/>
    <w:pPr>
      <w:ind w:left="720"/>
      <w:contextualSpacing/>
    </w:pPr>
  </w:style>
  <w:style w:type="paragraph" w:styleId="Sprechblasentext">
    <w:name w:val="Balloon Text"/>
    <w:basedOn w:val="Standard"/>
    <w:link w:val="SprechblasentextZchn"/>
    <w:uiPriority w:val="99"/>
    <w:semiHidden/>
    <w:unhideWhenUsed/>
    <w:rsid w:val="00AB35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5BA"/>
    <w:rPr>
      <w:rFonts w:ascii="Segoe UI" w:hAnsi="Segoe UI" w:cs="Segoe UI"/>
      <w:sz w:val="18"/>
      <w:szCs w:val="18"/>
    </w:rPr>
  </w:style>
  <w:style w:type="character" w:styleId="Hyperlink">
    <w:name w:val="Hyperlink"/>
    <w:basedOn w:val="Absatz-Standardschriftart"/>
    <w:uiPriority w:val="99"/>
    <w:semiHidden/>
    <w:unhideWhenUsed/>
    <w:rsid w:val="00C518EC"/>
    <w:rPr>
      <w:color w:val="0000FF"/>
      <w:u w:val="single"/>
    </w:rPr>
  </w:style>
  <w:style w:type="character" w:styleId="Kommentarzeichen">
    <w:name w:val="annotation reference"/>
    <w:basedOn w:val="Absatz-Standardschriftart"/>
    <w:uiPriority w:val="99"/>
    <w:semiHidden/>
    <w:unhideWhenUsed/>
    <w:rsid w:val="00E979F7"/>
    <w:rPr>
      <w:sz w:val="16"/>
      <w:szCs w:val="16"/>
    </w:rPr>
  </w:style>
  <w:style w:type="paragraph" w:styleId="Kommentartext">
    <w:name w:val="annotation text"/>
    <w:basedOn w:val="Standard"/>
    <w:link w:val="KommentartextZchn"/>
    <w:uiPriority w:val="99"/>
    <w:unhideWhenUsed/>
    <w:rsid w:val="00E979F7"/>
    <w:pPr>
      <w:spacing w:line="240" w:lineRule="auto"/>
    </w:pPr>
    <w:rPr>
      <w:sz w:val="20"/>
      <w:szCs w:val="20"/>
    </w:rPr>
  </w:style>
  <w:style w:type="character" w:customStyle="1" w:styleId="KommentartextZchn">
    <w:name w:val="Kommentartext Zchn"/>
    <w:basedOn w:val="Absatz-Standardschriftart"/>
    <w:link w:val="Kommentartext"/>
    <w:uiPriority w:val="99"/>
    <w:rsid w:val="00E979F7"/>
    <w:rPr>
      <w:sz w:val="20"/>
      <w:szCs w:val="20"/>
    </w:rPr>
  </w:style>
  <w:style w:type="paragraph" w:styleId="Kommentarthema">
    <w:name w:val="annotation subject"/>
    <w:basedOn w:val="Kommentartext"/>
    <w:next w:val="Kommentartext"/>
    <w:link w:val="KommentarthemaZchn"/>
    <w:uiPriority w:val="99"/>
    <w:semiHidden/>
    <w:unhideWhenUsed/>
    <w:rsid w:val="00E979F7"/>
    <w:rPr>
      <w:b/>
      <w:bCs/>
    </w:rPr>
  </w:style>
  <w:style w:type="character" w:customStyle="1" w:styleId="KommentarthemaZchn">
    <w:name w:val="Kommentarthema Zchn"/>
    <w:basedOn w:val="KommentartextZchn"/>
    <w:link w:val="Kommentarthema"/>
    <w:uiPriority w:val="99"/>
    <w:semiHidden/>
    <w:rsid w:val="00E979F7"/>
    <w:rPr>
      <w:b/>
      <w:bCs/>
      <w:sz w:val="20"/>
      <w:szCs w:val="20"/>
    </w:rPr>
  </w:style>
  <w:style w:type="paragraph" w:styleId="berarbeitung">
    <w:name w:val="Revision"/>
    <w:hidden/>
    <w:uiPriority w:val="99"/>
    <w:semiHidden/>
    <w:rsid w:val="00271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9867-4C81-4B8E-B79E-9AD08A18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17064</Characters>
  <Application>Microsoft Office Word</Application>
  <DocSecurity>0</DocSecurity>
  <Lines>142</Lines>
  <Paragraphs>39</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COFACE</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VON-BERG Christiane</dc:creator>
  <cp:keywords/>
  <dc:description/>
  <cp:lastModifiedBy>VON BERG Christiane</cp:lastModifiedBy>
  <cp:revision>6</cp:revision>
  <cp:lastPrinted>2022-08-22T09:11:00Z</cp:lastPrinted>
  <dcterms:created xsi:type="dcterms:W3CDTF">2022-08-24T11:57:00Z</dcterms:created>
  <dcterms:modified xsi:type="dcterms:W3CDTF">2022-08-24T13:59:00Z</dcterms:modified>
</cp:coreProperties>
</file>